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F37" w:rsidRDefault="001C38A0">
      <w:pPr>
        <w:pStyle w:val="10"/>
        <w:framePr w:w="9931" w:h="705" w:hRule="exact" w:wrap="around" w:vAnchor="page" w:hAnchor="page" w:x="1045" w:y="1145"/>
        <w:shd w:val="clear" w:color="auto" w:fill="auto"/>
        <w:spacing w:after="0"/>
      </w:pPr>
      <w:bookmarkStart w:id="0" w:name="bookmark0"/>
      <w:r>
        <w:rPr>
          <w:lang w:val="ru-RU" w:eastAsia="ru-RU" w:bidi="ru-RU"/>
        </w:rPr>
        <w:t xml:space="preserve">ПЕРСПЕКТИВИ РОЗВИТКУ </w:t>
      </w:r>
      <w:r>
        <w:t>ФІНАНСОВО-КРЕДИТНОЇ СИСТЕМИ</w:t>
      </w:r>
      <w:bookmarkEnd w:id="0"/>
    </w:p>
    <w:p w:rsidR="00613F37" w:rsidRDefault="001C38A0">
      <w:pPr>
        <w:pStyle w:val="20"/>
        <w:framePr w:w="9931" w:h="12240" w:hRule="exact" w:wrap="around" w:vAnchor="page" w:hAnchor="page" w:x="1045" w:y="2618"/>
        <w:shd w:val="clear" w:color="auto" w:fill="auto"/>
        <w:spacing w:before="0"/>
        <w:ind w:left="20" w:firstLine="560"/>
      </w:pPr>
      <w:r>
        <w:t>УДК 336.71</w:t>
      </w:r>
    </w:p>
    <w:p w:rsidR="00613F37" w:rsidRDefault="001C38A0">
      <w:pPr>
        <w:pStyle w:val="20"/>
        <w:framePr w:w="9931" w:h="12240" w:hRule="exact" w:wrap="around" w:vAnchor="page" w:hAnchor="page" w:x="1045" w:y="2618"/>
        <w:shd w:val="clear" w:color="auto" w:fill="auto"/>
        <w:spacing w:before="0"/>
        <w:jc w:val="center"/>
      </w:pPr>
      <w:r>
        <w:t>Богдан Петрович АДАМИК</w:t>
      </w:r>
    </w:p>
    <w:p w:rsidR="00613F37" w:rsidRDefault="001C38A0">
      <w:pPr>
        <w:pStyle w:val="a5"/>
        <w:framePr w:w="9931" w:h="12240" w:hRule="exact" w:wrap="around" w:vAnchor="page" w:hAnchor="page" w:x="1045" w:y="2618"/>
        <w:shd w:val="clear" w:color="auto" w:fill="auto"/>
        <w:spacing w:after="291"/>
      </w:pPr>
      <w:r>
        <w:t xml:space="preserve">кандидат економічних наук, доцент кафедри банківської справи Тернопільський національний економічний університет </w:t>
      </w:r>
      <w:r>
        <w:rPr>
          <w:lang w:val="en-US" w:eastAsia="en-US" w:bidi="en-US"/>
        </w:rPr>
        <w:t>E</w:t>
      </w:r>
      <w:r w:rsidRPr="00045E84">
        <w:rPr>
          <w:lang w:val="ru-RU" w:eastAsia="en-US" w:bidi="en-US"/>
        </w:rPr>
        <w:t>-</w:t>
      </w:r>
      <w:r>
        <w:rPr>
          <w:lang w:val="en-US" w:eastAsia="en-US" w:bidi="en-US"/>
        </w:rPr>
        <w:t>mail</w:t>
      </w:r>
      <w:r w:rsidRPr="00045E84">
        <w:rPr>
          <w:lang w:val="ru-RU" w:eastAsia="en-US" w:bidi="en-US"/>
        </w:rPr>
        <w:t xml:space="preserve">: </w:t>
      </w:r>
      <w:hyperlink r:id="rId7" w:history="1">
        <w:r>
          <w:rPr>
            <w:rStyle w:val="a3"/>
            <w:lang w:val="en-US" w:eastAsia="en-US" w:bidi="en-US"/>
          </w:rPr>
          <w:t>bogdan</w:t>
        </w:r>
        <w:r w:rsidRPr="00045E84">
          <w:rPr>
            <w:rStyle w:val="a3"/>
            <w:lang w:val="ru-RU" w:eastAsia="en-US" w:bidi="en-US"/>
          </w:rPr>
          <w:t>_</w:t>
        </w:r>
        <w:r>
          <w:rPr>
            <w:rStyle w:val="a3"/>
            <w:lang w:val="en-US" w:eastAsia="en-US" w:bidi="en-US"/>
          </w:rPr>
          <w:t>fbb</w:t>
        </w:r>
        <w:r w:rsidRPr="00045E84">
          <w:rPr>
            <w:rStyle w:val="a3"/>
            <w:lang w:val="ru-RU" w:eastAsia="en-US" w:bidi="en-US"/>
          </w:rPr>
          <w:t>@</w:t>
        </w:r>
        <w:r>
          <w:rPr>
            <w:rStyle w:val="a3"/>
            <w:lang w:val="en-US" w:eastAsia="en-US" w:bidi="en-US"/>
          </w:rPr>
          <w:t>ukr</w:t>
        </w:r>
        <w:r w:rsidRPr="00045E84">
          <w:rPr>
            <w:rStyle w:val="a3"/>
            <w:lang w:val="ru-RU" w:eastAsia="en-US" w:bidi="en-US"/>
          </w:rPr>
          <w:t>.</w:t>
        </w:r>
        <w:r>
          <w:rPr>
            <w:rStyle w:val="a3"/>
            <w:lang w:val="en-US" w:eastAsia="en-US" w:bidi="en-US"/>
          </w:rPr>
          <w:t>net</w:t>
        </w:r>
      </w:hyperlink>
    </w:p>
    <w:p w:rsidR="00613F37" w:rsidRDefault="001C38A0">
      <w:pPr>
        <w:pStyle w:val="20"/>
        <w:framePr w:w="9931" w:h="12240" w:hRule="exact" w:wrap="around" w:vAnchor="page" w:hAnchor="page" w:x="1045" w:y="2618"/>
        <w:shd w:val="clear" w:color="auto" w:fill="auto"/>
        <w:spacing w:before="0" w:after="36" w:line="210" w:lineRule="exact"/>
        <w:jc w:val="center"/>
      </w:pPr>
      <w:r>
        <w:t>Андрій Сергійович СКІРКА</w:t>
      </w:r>
    </w:p>
    <w:p w:rsidR="00613F37" w:rsidRDefault="001C38A0">
      <w:pPr>
        <w:pStyle w:val="a5"/>
        <w:framePr w:w="9931" w:h="12240" w:hRule="exact" w:wrap="around" w:vAnchor="page" w:hAnchor="page" w:x="1045" w:y="2618"/>
        <w:shd w:val="clear" w:color="auto" w:fill="auto"/>
        <w:spacing w:after="233" w:line="269" w:lineRule="exact"/>
      </w:pPr>
      <w:r>
        <w:t xml:space="preserve">здобувач </w:t>
      </w:r>
      <w:r>
        <w:rPr>
          <w:lang w:val="en-US" w:eastAsia="en-US" w:bidi="en-US"/>
        </w:rPr>
        <w:t>E</w:t>
      </w:r>
      <w:r w:rsidRPr="00045E84">
        <w:rPr>
          <w:lang w:val="ru-RU" w:eastAsia="en-US" w:bidi="en-US"/>
        </w:rPr>
        <w:t>-</w:t>
      </w:r>
      <w:r>
        <w:rPr>
          <w:lang w:val="en-US" w:eastAsia="en-US" w:bidi="en-US"/>
        </w:rPr>
        <w:t>mail</w:t>
      </w:r>
      <w:r w:rsidRPr="00045E84">
        <w:rPr>
          <w:lang w:val="ru-RU" w:eastAsia="en-US" w:bidi="en-US"/>
        </w:rPr>
        <w:t xml:space="preserve">: </w:t>
      </w:r>
      <w:hyperlink r:id="rId8" w:history="1">
        <w:r>
          <w:rPr>
            <w:rStyle w:val="a3"/>
            <w:lang w:val="en-US" w:eastAsia="en-US" w:bidi="en-US"/>
          </w:rPr>
          <w:t>skirka</w:t>
        </w:r>
        <w:r w:rsidRPr="00045E84">
          <w:rPr>
            <w:rStyle w:val="a3"/>
            <w:lang w:val="ru-RU" w:eastAsia="en-US" w:bidi="en-US"/>
          </w:rPr>
          <w:t>92@</w:t>
        </w:r>
        <w:r>
          <w:rPr>
            <w:rStyle w:val="a3"/>
            <w:lang w:val="en-US" w:eastAsia="en-US" w:bidi="en-US"/>
          </w:rPr>
          <w:t>mail</w:t>
        </w:r>
        <w:r w:rsidRPr="00045E84">
          <w:rPr>
            <w:rStyle w:val="a3"/>
            <w:lang w:val="ru-RU" w:eastAsia="en-US" w:bidi="en-US"/>
          </w:rPr>
          <w:t>.</w:t>
        </w:r>
        <w:r>
          <w:rPr>
            <w:rStyle w:val="a3"/>
            <w:lang w:val="en-US" w:eastAsia="en-US" w:bidi="en-US"/>
          </w:rPr>
          <w:t>ru</w:t>
        </w:r>
      </w:hyperlink>
    </w:p>
    <w:p w:rsidR="00613F37" w:rsidRDefault="001C38A0">
      <w:pPr>
        <w:pStyle w:val="20"/>
        <w:framePr w:w="9931" w:h="12240" w:hRule="exact" w:wrap="around" w:vAnchor="page" w:hAnchor="page" w:x="1045" w:y="2618"/>
        <w:shd w:val="clear" w:color="auto" w:fill="auto"/>
        <w:spacing w:before="0" w:after="282" w:line="278" w:lineRule="exact"/>
        <w:jc w:val="center"/>
      </w:pPr>
      <w:r>
        <w:t>СВІТОВИЙ ДОСВІД ФУНКЦІОНУВАННЯ СИСТЕМИ ГАРАНТУВАННЯ ВКЛАДІВ ТА МОЖЛИВОСТІ ЙОГО ВИКОРИСТАННЯ В УКРАЇНІ</w:t>
      </w:r>
    </w:p>
    <w:p w:rsidR="00613F37" w:rsidRPr="00045E84" w:rsidRDefault="001C38A0">
      <w:pPr>
        <w:pStyle w:val="30"/>
        <w:framePr w:w="9931" w:h="12240" w:hRule="exact" w:wrap="around" w:vAnchor="page" w:hAnchor="page" w:x="1045" w:y="2618"/>
        <w:shd w:val="clear" w:color="auto" w:fill="auto"/>
        <w:spacing w:before="0"/>
        <w:rPr>
          <w:lang w:val="ru-RU"/>
        </w:rPr>
      </w:pPr>
      <w:r>
        <w:rPr>
          <w:lang w:val="uk-UA" w:eastAsia="uk-UA" w:bidi="uk-UA"/>
        </w:rPr>
        <w:t>Анотація</w:t>
      </w:r>
    </w:p>
    <w:p w:rsidR="00613F37" w:rsidRPr="00045E84" w:rsidRDefault="001C38A0">
      <w:pPr>
        <w:pStyle w:val="40"/>
        <w:framePr w:w="9931" w:h="12240" w:hRule="exact" w:wrap="around" w:vAnchor="page" w:hAnchor="page" w:x="1045" w:y="2618"/>
        <w:shd w:val="clear" w:color="auto" w:fill="auto"/>
        <w:ind w:left="20" w:right="20"/>
        <w:rPr>
          <w:lang w:val="ru-RU"/>
        </w:rPr>
      </w:pPr>
      <w:r>
        <w:rPr>
          <w:lang w:val="uk-UA" w:eastAsia="uk-UA" w:bidi="uk-UA"/>
        </w:rPr>
        <w:t xml:space="preserve">У статті подано </w:t>
      </w:r>
      <w:r>
        <w:rPr>
          <w:lang w:val="uk-UA" w:eastAsia="uk-UA" w:bidi="uk-UA"/>
        </w:rPr>
        <w:t>класифікацію систем страхування депозитів, проаналізовано її функціонування у провідних країнах світу. Звернено увагу на існування морального ризику, при визначенні розміру та об’єктів відшкодування вкладів.</w:t>
      </w:r>
    </w:p>
    <w:p w:rsidR="00613F37" w:rsidRPr="00045E84" w:rsidRDefault="001C38A0">
      <w:pPr>
        <w:pStyle w:val="40"/>
        <w:framePr w:w="9931" w:h="12240" w:hRule="exact" w:wrap="around" w:vAnchor="page" w:hAnchor="page" w:x="1045" w:y="2618"/>
        <w:shd w:val="clear" w:color="auto" w:fill="auto"/>
        <w:ind w:left="20" w:right="20"/>
        <w:rPr>
          <w:lang w:val="uk-UA"/>
        </w:rPr>
      </w:pPr>
      <w:r>
        <w:rPr>
          <w:lang w:val="uk-UA" w:eastAsia="uk-UA" w:bidi="uk-UA"/>
        </w:rPr>
        <w:t xml:space="preserve">Досліджено та подано порівняльну характеристику </w:t>
      </w:r>
      <w:r>
        <w:rPr>
          <w:lang w:val="uk-UA" w:eastAsia="uk-UA" w:bidi="uk-UA"/>
        </w:rPr>
        <w:t xml:space="preserve">основних аспектів законодавства про страхування вкладів у країнах ЄС та України. Проаналізовано розмір фінансових ресурсів Федеральної корпорації страхування депозитів </w:t>
      </w:r>
      <w:r w:rsidRPr="00045E84">
        <w:rPr>
          <w:lang w:val="uk-UA" w:eastAsia="ru-RU" w:bidi="ru-RU"/>
        </w:rPr>
        <w:t xml:space="preserve">США. </w:t>
      </w:r>
      <w:r>
        <w:rPr>
          <w:lang w:val="uk-UA" w:eastAsia="uk-UA" w:bidi="uk-UA"/>
        </w:rPr>
        <w:t>Подано деякі аспекти функціонування страхування депозитів у Німеччині та Великобрит</w:t>
      </w:r>
      <w:r>
        <w:rPr>
          <w:lang w:val="uk-UA" w:eastAsia="uk-UA" w:bidi="uk-UA"/>
        </w:rPr>
        <w:t>анії. Зазначено ключові принципи ефективної системи гарантування вкладів, розроблені Міжнародною асоціацією страховиків депозитів та зазначено їх виконання в Україні.</w:t>
      </w:r>
    </w:p>
    <w:p w:rsidR="00613F37" w:rsidRPr="00045E84" w:rsidRDefault="001C38A0">
      <w:pPr>
        <w:pStyle w:val="40"/>
        <w:framePr w:w="9931" w:h="12240" w:hRule="exact" w:wrap="around" w:vAnchor="page" w:hAnchor="page" w:x="1045" w:y="2618"/>
        <w:shd w:val="clear" w:color="auto" w:fill="auto"/>
        <w:spacing w:after="202"/>
        <w:ind w:left="20"/>
        <w:rPr>
          <w:lang w:val="ru-RU"/>
        </w:rPr>
      </w:pPr>
      <w:r>
        <w:rPr>
          <w:rStyle w:val="41"/>
          <w:i/>
          <w:iCs/>
        </w:rPr>
        <w:t xml:space="preserve">Ключові слова: </w:t>
      </w:r>
      <w:r>
        <w:rPr>
          <w:lang w:val="uk-UA" w:eastAsia="uk-UA" w:bidi="uk-UA"/>
        </w:rPr>
        <w:t>заощадження, депозит, банк, страхування, вкладник.</w:t>
      </w:r>
    </w:p>
    <w:p w:rsidR="00613F37" w:rsidRDefault="001C38A0">
      <w:pPr>
        <w:pStyle w:val="20"/>
        <w:framePr w:w="9931" w:h="12240" w:hRule="exact" w:wrap="around" w:vAnchor="page" w:hAnchor="page" w:x="1045" w:y="2618"/>
        <w:shd w:val="clear" w:color="auto" w:fill="auto"/>
        <w:spacing w:before="0"/>
        <w:jc w:val="center"/>
      </w:pPr>
      <w:r>
        <w:t xml:space="preserve">Богдан Петрович </w:t>
      </w:r>
      <w:r>
        <w:rPr>
          <w:lang w:val="ru-RU" w:eastAsia="ru-RU" w:bidi="ru-RU"/>
        </w:rPr>
        <w:t>АДАМЫК</w:t>
      </w:r>
    </w:p>
    <w:p w:rsidR="00613F37" w:rsidRDefault="001C38A0">
      <w:pPr>
        <w:pStyle w:val="a5"/>
        <w:framePr w:w="9931" w:h="12240" w:hRule="exact" w:wrap="around" w:vAnchor="page" w:hAnchor="page" w:x="1045" w:y="2618"/>
        <w:shd w:val="clear" w:color="auto" w:fill="auto"/>
        <w:spacing w:after="291"/>
      </w:pPr>
      <w:r>
        <w:t xml:space="preserve">кандидат </w:t>
      </w:r>
      <w:r>
        <w:rPr>
          <w:lang w:val="ru-RU" w:eastAsia="ru-RU" w:bidi="ru-RU"/>
        </w:rPr>
        <w:t xml:space="preserve">экономических </w:t>
      </w:r>
      <w:r>
        <w:t xml:space="preserve">наук, доцент </w:t>
      </w:r>
      <w:r>
        <w:rPr>
          <w:lang w:val="ru-RU" w:eastAsia="ru-RU" w:bidi="ru-RU"/>
        </w:rPr>
        <w:t xml:space="preserve">кафедры </w:t>
      </w:r>
      <w:r>
        <w:t xml:space="preserve">банковского дела Тернопольский </w:t>
      </w:r>
      <w:r>
        <w:rPr>
          <w:lang w:val="ru-RU" w:eastAsia="ru-RU" w:bidi="ru-RU"/>
        </w:rPr>
        <w:t xml:space="preserve">национальный экономический </w:t>
      </w:r>
      <w:r>
        <w:t xml:space="preserve">университет </w:t>
      </w:r>
      <w:r>
        <w:rPr>
          <w:lang w:val="en-US" w:eastAsia="en-US" w:bidi="en-US"/>
        </w:rPr>
        <w:t>E</w:t>
      </w:r>
      <w:r w:rsidRPr="00045E84">
        <w:rPr>
          <w:lang w:val="ru-RU" w:eastAsia="en-US" w:bidi="en-US"/>
        </w:rPr>
        <w:t>-</w:t>
      </w:r>
      <w:r>
        <w:rPr>
          <w:lang w:val="en-US" w:eastAsia="en-US" w:bidi="en-US"/>
        </w:rPr>
        <w:t>mail</w:t>
      </w:r>
      <w:r w:rsidRPr="00045E84">
        <w:rPr>
          <w:lang w:val="ru-RU" w:eastAsia="en-US" w:bidi="en-US"/>
        </w:rPr>
        <w:t xml:space="preserve">: </w:t>
      </w:r>
      <w:hyperlink r:id="rId9" w:history="1">
        <w:r>
          <w:rPr>
            <w:rStyle w:val="a3"/>
            <w:lang w:val="en-US" w:eastAsia="en-US" w:bidi="en-US"/>
          </w:rPr>
          <w:t>bogdan</w:t>
        </w:r>
        <w:r w:rsidRPr="00045E84">
          <w:rPr>
            <w:rStyle w:val="a3"/>
            <w:lang w:val="ru-RU" w:eastAsia="en-US" w:bidi="en-US"/>
          </w:rPr>
          <w:t>_</w:t>
        </w:r>
        <w:r>
          <w:rPr>
            <w:rStyle w:val="a3"/>
            <w:lang w:val="en-US" w:eastAsia="en-US" w:bidi="en-US"/>
          </w:rPr>
          <w:t>fbb</w:t>
        </w:r>
        <w:r w:rsidRPr="00045E84">
          <w:rPr>
            <w:rStyle w:val="a3"/>
            <w:lang w:val="ru-RU" w:eastAsia="en-US" w:bidi="en-US"/>
          </w:rPr>
          <w:t>@</w:t>
        </w:r>
        <w:r>
          <w:rPr>
            <w:rStyle w:val="a3"/>
            <w:lang w:val="en-US" w:eastAsia="en-US" w:bidi="en-US"/>
          </w:rPr>
          <w:t>ukr</w:t>
        </w:r>
        <w:r w:rsidRPr="00045E84">
          <w:rPr>
            <w:rStyle w:val="a3"/>
            <w:lang w:val="ru-RU" w:eastAsia="en-US" w:bidi="en-US"/>
          </w:rPr>
          <w:t>.</w:t>
        </w:r>
        <w:r>
          <w:rPr>
            <w:rStyle w:val="a3"/>
            <w:lang w:val="en-US" w:eastAsia="en-US" w:bidi="en-US"/>
          </w:rPr>
          <w:t>net</w:t>
        </w:r>
      </w:hyperlink>
    </w:p>
    <w:p w:rsidR="00613F37" w:rsidRDefault="001C38A0">
      <w:pPr>
        <w:pStyle w:val="20"/>
        <w:framePr w:w="9931" w:h="12240" w:hRule="exact" w:wrap="around" w:vAnchor="page" w:hAnchor="page" w:x="1045" w:y="2618"/>
        <w:shd w:val="clear" w:color="auto" w:fill="auto"/>
        <w:spacing w:before="0" w:line="210" w:lineRule="exact"/>
        <w:jc w:val="center"/>
      </w:pPr>
      <w:r>
        <w:t>Андрей Сергеевич СКОРИК</w:t>
      </w:r>
    </w:p>
    <w:p w:rsidR="00613F37" w:rsidRDefault="001C38A0">
      <w:pPr>
        <w:pStyle w:val="a5"/>
        <w:framePr w:w="9931" w:h="12240" w:hRule="exact" w:wrap="around" w:vAnchor="page" w:hAnchor="page" w:x="1045" w:y="2618"/>
        <w:shd w:val="clear" w:color="auto" w:fill="auto"/>
      </w:pPr>
      <w:r>
        <w:t xml:space="preserve">соискатель </w:t>
      </w:r>
      <w:r>
        <w:rPr>
          <w:lang w:val="en-US" w:eastAsia="en-US" w:bidi="en-US"/>
        </w:rPr>
        <w:t>E</w:t>
      </w:r>
      <w:r w:rsidRPr="00045E84">
        <w:rPr>
          <w:lang w:val="ru-RU" w:eastAsia="en-US" w:bidi="en-US"/>
        </w:rPr>
        <w:t>-</w:t>
      </w:r>
      <w:r>
        <w:rPr>
          <w:lang w:val="en-US" w:eastAsia="en-US" w:bidi="en-US"/>
        </w:rPr>
        <w:t>mail</w:t>
      </w:r>
      <w:r w:rsidRPr="00045E84">
        <w:rPr>
          <w:lang w:val="ru-RU" w:eastAsia="en-US" w:bidi="en-US"/>
        </w:rPr>
        <w:t xml:space="preserve">: </w:t>
      </w:r>
      <w:hyperlink r:id="rId10" w:history="1">
        <w:r>
          <w:rPr>
            <w:rStyle w:val="a3"/>
            <w:lang w:val="en-US" w:eastAsia="en-US" w:bidi="en-US"/>
          </w:rPr>
          <w:t>skirka</w:t>
        </w:r>
        <w:r w:rsidRPr="00045E84">
          <w:rPr>
            <w:rStyle w:val="a3"/>
            <w:lang w:val="ru-RU" w:eastAsia="en-US" w:bidi="en-US"/>
          </w:rPr>
          <w:t>92@</w:t>
        </w:r>
        <w:r>
          <w:rPr>
            <w:rStyle w:val="a3"/>
            <w:lang w:val="en-US" w:eastAsia="en-US" w:bidi="en-US"/>
          </w:rPr>
          <w:t>mail</w:t>
        </w:r>
        <w:r w:rsidRPr="00045E84">
          <w:rPr>
            <w:rStyle w:val="a3"/>
            <w:lang w:val="ru-RU" w:eastAsia="en-US" w:bidi="en-US"/>
          </w:rPr>
          <w:t>.</w:t>
        </w:r>
        <w:r>
          <w:rPr>
            <w:rStyle w:val="a3"/>
            <w:lang w:val="en-US" w:eastAsia="en-US" w:bidi="en-US"/>
          </w:rPr>
          <w:t>ru</w:t>
        </w:r>
      </w:hyperlink>
    </w:p>
    <w:p w:rsidR="00613F37" w:rsidRDefault="001C38A0">
      <w:pPr>
        <w:pStyle w:val="20"/>
        <w:framePr w:w="9931" w:h="12240" w:hRule="exact" w:wrap="around" w:vAnchor="page" w:hAnchor="page" w:x="1045" w:y="2618"/>
        <w:shd w:val="clear" w:color="auto" w:fill="auto"/>
        <w:spacing w:before="0" w:after="159"/>
        <w:jc w:val="center"/>
      </w:pPr>
      <w:r>
        <w:t xml:space="preserve">МИРОВОЙ </w:t>
      </w:r>
      <w:r>
        <w:rPr>
          <w:lang w:val="ru-RU" w:eastAsia="ru-RU" w:bidi="ru-RU"/>
        </w:rPr>
        <w:t xml:space="preserve">ОПЫТ </w:t>
      </w:r>
      <w:r>
        <w:t xml:space="preserve">ФУНКЦИОНИРОВАНИЯ </w:t>
      </w:r>
      <w:r>
        <w:rPr>
          <w:lang w:val="ru-RU" w:eastAsia="ru-RU" w:bidi="ru-RU"/>
        </w:rPr>
        <w:t xml:space="preserve">СИСТЕМЫ </w:t>
      </w:r>
      <w:r>
        <w:t>ГАРАНТИРОВАНИЯ ВКЛАДОВ И ВОЗМОЖНОСТИ ИСПОЛЬЗОВАНИЯ В УКРАИНЕ</w:t>
      </w:r>
    </w:p>
    <w:p w:rsidR="00613F37" w:rsidRPr="00045E84" w:rsidRDefault="001C38A0">
      <w:pPr>
        <w:pStyle w:val="30"/>
        <w:framePr w:w="9931" w:h="12240" w:hRule="exact" w:wrap="around" w:vAnchor="page" w:hAnchor="page" w:x="1045" w:y="2618"/>
        <w:shd w:val="clear" w:color="auto" w:fill="auto"/>
        <w:spacing w:before="0"/>
        <w:ind w:left="4720"/>
        <w:jc w:val="left"/>
        <w:rPr>
          <w:lang w:val="ru-RU"/>
        </w:rPr>
      </w:pPr>
      <w:r>
        <w:rPr>
          <w:lang w:val="uk-UA" w:eastAsia="uk-UA" w:bidi="uk-UA"/>
        </w:rPr>
        <w:t>Аннотация</w:t>
      </w:r>
    </w:p>
    <w:p w:rsidR="00613F37" w:rsidRPr="00045E84" w:rsidRDefault="001C38A0">
      <w:pPr>
        <w:pStyle w:val="40"/>
        <w:framePr w:w="9931" w:h="12240" w:hRule="exact" w:wrap="around" w:vAnchor="page" w:hAnchor="page" w:x="1045" w:y="2618"/>
        <w:shd w:val="clear" w:color="auto" w:fill="auto"/>
        <w:ind w:left="20" w:right="20"/>
        <w:rPr>
          <w:lang w:val="ru-RU"/>
        </w:rPr>
      </w:pPr>
      <w:r>
        <w:rPr>
          <w:lang w:val="uk-UA" w:eastAsia="uk-UA" w:bidi="uk-UA"/>
        </w:rPr>
        <w:t xml:space="preserve">В статье представлена классификация систем страхования депозитов, </w:t>
      </w:r>
      <w:r>
        <w:rPr>
          <w:lang w:val="ru-RU" w:eastAsia="ru-RU" w:bidi="ru-RU"/>
        </w:rPr>
        <w:t xml:space="preserve">проанализированы </w:t>
      </w:r>
      <w:r>
        <w:rPr>
          <w:lang w:val="uk-UA" w:eastAsia="uk-UA" w:bidi="uk-UA"/>
        </w:rPr>
        <w:t xml:space="preserve">ее функционирования в </w:t>
      </w:r>
      <w:r>
        <w:rPr>
          <w:lang w:val="ru-RU" w:eastAsia="ru-RU" w:bidi="ru-RU"/>
        </w:rPr>
        <w:t xml:space="preserve">ведущих </w:t>
      </w:r>
      <w:r>
        <w:rPr>
          <w:lang w:val="uk-UA" w:eastAsia="uk-UA" w:bidi="uk-UA"/>
        </w:rPr>
        <w:t xml:space="preserve">странах мира. Обращено внимание на существование морального риска, </w:t>
      </w:r>
      <w:r>
        <w:rPr>
          <w:lang w:val="ru-RU" w:eastAsia="ru-RU" w:bidi="ru-RU"/>
        </w:rPr>
        <w:t xml:space="preserve">при </w:t>
      </w:r>
      <w:r>
        <w:rPr>
          <w:lang w:val="uk-UA" w:eastAsia="uk-UA" w:bidi="uk-UA"/>
        </w:rPr>
        <w:t xml:space="preserve">определении </w:t>
      </w:r>
      <w:r>
        <w:rPr>
          <w:lang w:val="ru-RU" w:eastAsia="ru-RU" w:bidi="ru-RU"/>
        </w:rPr>
        <w:t xml:space="preserve">размера </w:t>
      </w:r>
      <w:r>
        <w:rPr>
          <w:lang w:val="uk-UA" w:eastAsia="uk-UA" w:bidi="uk-UA"/>
        </w:rPr>
        <w:t xml:space="preserve">и </w:t>
      </w:r>
      <w:r>
        <w:rPr>
          <w:lang w:val="ru-RU" w:eastAsia="ru-RU" w:bidi="ru-RU"/>
        </w:rPr>
        <w:t xml:space="preserve">объектов </w:t>
      </w:r>
      <w:r>
        <w:rPr>
          <w:lang w:val="uk-UA" w:eastAsia="uk-UA" w:bidi="uk-UA"/>
        </w:rPr>
        <w:t>возмещения вкладов.</w:t>
      </w:r>
    </w:p>
    <w:p w:rsidR="00613F37" w:rsidRPr="00045E84" w:rsidRDefault="001C38A0">
      <w:pPr>
        <w:pStyle w:val="40"/>
        <w:framePr w:w="9931" w:h="12240" w:hRule="exact" w:wrap="around" w:vAnchor="page" w:hAnchor="page" w:x="1045" w:y="2618"/>
        <w:shd w:val="clear" w:color="auto" w:fill="auto"/>
        <w:ind w:left="20" w:right="20"/>
        <w:rPr>
          <w:lang w:val="ru-RU"/>
        </w:rPr>
      </w:pPr>
      <w:r>
        <w:rPr>
          <w:lang w:val="ru-RU" w:eastAsia="ru-RU" w:bidi="ru-RU"/>
        </w:rPr>
        <w:t xml:space="preserve">Исследованы </w:t>
      </w:r>
      <w:r>
        <w:rPr>
          <w:lang w:val="uk-UA" w:eastAsia="uk-UA" w:bidi="uk-UA"/>
        </w:rPr>
        <w:t xml:space="preserve">и </w:t>
      </w:r>
      <w:r>
        <w:rPr>
          <w:lang w:val="ru-RU" w:eastAsia="ru-RU" w:bidi="ru-RU"/>
        </w:rPr>
        <w:t xml:space="preserve">представлены </w:t>
      </w:r>
      <w:r>
        <w:rPr>
          <w:lang w:val="uk-UA" w:eastAsia="uk-UA" w:bidi="uk-UA"/>
        </w:rPr>
        <w:t xml:space="preserve">сравнительную </w:t>
      </w:r>
      <w:r>
        <w:rPr>
          <w:lang w:val="ru-RU" w:eastAsia="ru-RU" w:bidi="ru-RU"/>
        </w:rPr>
        <w:t xml:space="preserve">характеристику основных </w:t>
      </w:r>
      <w:r>
        <w:rPr>
          <w:lang w:val="uk-UA" w:eastAsia="uk-UA" w:bidi="uk-UA"/>
        </w:rPr>
        <w:t>аспектов законодательства о страховании</w:t>
      </w:r>
      <w:r>
        <w:rPr>
          <w:lang w:val="uk-UA" w:eastAsia="uk-UA" w:bidi="uk-UA"/>
        </w:rPr>
        <w:t xml:space="preserve"> вкладов в странах ЕС и Украиной. </w:t>
      </w:r>
      <w:r>
        <w:rPr>
          <w:lang w:val="ru-RU" w:eastAsia="ru-RU" w:bidi="ru-RU"/>
        </w:rPr>
        <w:t xml:space="preserve">Проанализированы размер финансовых </w:t>
      </w:r>
      <w:r>
        <w:rPr>
          <w:lang w:val="uk-UA" w:eastAsia="uk-UA" w:bidi="uk-UA"/>
        </w:rPr>
        <w:t xml:space="preserve">ресурсов Федеральной </w:t>
      </w:r>
      <w:r>
        <w:rPr>
          <w:lang w:val="ru-RU" w:eastAsia="ru-RU" w:bidi="ru-RU"/>
        </w:rPr>
        <w:t>корпорации страхования депозитов США. Представлены некоторые аспекты функционирования страхования депозитов в Германии и Великобритании. Указано ключевые принципы эфф</w:t>
      </w:r>
      <w:r>
        <w:rPr>
          <w:lang w:val="ru-RU" w:eastAsia="ru-RU" w:bidi="ru-RU"/>
        </w:rPr>
        <w:t>ективной системы гарантирования вкладов, разработанные Международной ассоциацией страховщиков депозитов и указано их выполнения в Украине.По результатам нашего исследования, представлены некоторые рекомендации, по совершенствованию отечественной системы га</w:t>
      </w:r>
      <w:r>
        <w:rPr>
          <w:lang w:val="ru-RU" w:eastAsia="ru-RU" w:bidi="ru-RU"/>
        </w:rPr>
        <w:t>рантирования вкладов.</w:t>
      </w:r>
    </w:p>
    <w:p w:rsidR="00613F37" w:rsidRPr="00045E84" w:rsidRDefault="001C38A0">
      <w:pPr>
        <w:pStyle w:val="40"/>
        <w:framePr w:w="9931" w:h="12240" w:hRule="exact" w:wrap="around" w:vAnchor="page" w:hAnchor="page" w:x="1045" w:y="2618"/>
        <w:shd w:val="clear" w:color="auto" w:fill="auto"/>
        <w:ind w:left="20"/>
        <w:rPr>
          <w:lang w:val="ru-RU"/>
        </w:rPr>
      </w:pPr>
      <w:r>
        <w:rPr>
          <w:lang w:val="ru-RU" w:eastAsia="ru-RU" w:bidi="ru-RU"/>
        </w:rPr>
        <w:t>Ключевые слова: сбережения, депозит, банк, страхование, вкладчик.</w:t>
      </w:r>
    </w:p>
    <w:p w:rsidR="00613F37" w:rsidRDefault="001C38A0">
      <w:pPr>
        <w:pStyle w:val="a7"/>
        <w:framePr w:wrap="around" w:vAnchor="page" w:hAnchor="page" w:x="1026" w:y="15658"/>
        <w:shd w:val="clear" w:color="auto" w:fill="auto"/>
        <w:spacing w:line="180" w:lineRule="exact"/>
        <w:ind w:left="20"/>
      </w:pPr>
      <w:r>
        <w:rPr>
          <w:lang w:val="en-US" w:eastAsia="en-US" w:bidi="en-US"/>
        </w:rPr>
        <w:t>ISSN</w:t>
      </w:r>
      <w:r w:rsidRPr="00045E84">
        <w:rPr>
          <w:lang w:val="ru-RU" w:eastAsia="en-US" w:bidi="en-US"/>
        </w:rPr>
        <w:t xml:space="preserve"> </w:t>
      </w:r>
      <w:r>
        <w:rPr>
          <w:lang w:val="ru-RU" w:eastAsia="ru-RU" w:bidi="ru-RU"/>
        </w:rPr>
        <w:t xml:space="preserve">1818-2682. Наука молода, 2015 </w:t>
      </w:r>
      <w:r>
        <w:t xml:space="preserve">рік. </w:t>
      </w:r>
      <w:r>
        <w:rPr>
          <w:lang w:val="ru-RU" w:eastAsia="ru-RU" w:bidi="ru-RU"/>
        </w:rPr>
        <w:t>№ 23</w:t>
      </w:r>
    </w:p>
    <w:p w:rsidR="00613F37" w:rsidRDefault="001C38A0">
      <w:pPr>
        <w:pStyle w:val="a7"/>
        <w:framePr w:wrap="around" w:vAnchor="page" w:hAnchor="page" w:x="10751" w:y="15662"/>
        <w:shd w:val="clear" w:color="auto" w:fill="auto"/>
        <w:spacing w:line="180" w:lineRule="exact"/>
        <w:ind w:left="20"/>
      </w:pPr>
      <w:r>
        <w:t>39</w:t>
      </w:r>
    </w:p>
    <w:p w:rsidR="00613F37" w:rsidRDefault="00613F37">
      <w:pPr>
        <w:rPr>
          <w:sz w:val="2"/>
          <w:szCs w:val="2"/>
        </w:rPr>
        <w:sectPr w:rsidR="00613F37">
          <w:pgSz w:w="11909" w:h="16838"/>
          <w:pgMar w:top="0" w:right="0" w:bottom="0" w:left="0" w:header="0" w:footer="3" w:gutter="0"/>
          <w:cols w:space="720"/>
          <w:noEndnote/>
          <w:docGrid w:linePitch="360"/>
        </w:sectPr>
      </w:pPr>
    </w:p>
    <w:p w:rsidR="00613F37" w:rsidRDefault="001C38A0">
      <w:pPr>
        <w:pStyle w:val="20"/>
        <w:framePr w:w="9965" w:h="13647" w:hRule="exact" w:wrap="around" w:vAnchor="page" w:hAnchor="page" w:x="1028" w:y="1504"/>
        <w:shd w:val="clear" w:color="auto" w:fill="auto"/>
        <w:spacing w:before="0"/>
        <w:jc w:val="center"/>
      </w:pPr>
      <w:r>
        <w:rPr>
          <w:lang w:val="en-US" w:eastAsia="en-US" w:bidi="en-US"/>
        </w:rPr>
        <w:lastRenderedPageBreak/>
        <w:t>Bohdan</w:t>
      </w:r>
      <w:r w:rsidRPr="00045E84">
        <w:rPr>
          <w:lang w:val="ru-RU" w:eastAsia="en-US" w:bidi="en-US"/>
        </w:rPr>
        <w:t xml:space="preserve"> </w:t>
      </w:r>
      <w:r>
        <w:rPr>
          <w:lang w:val="en-US" w:eastAsia="en-US" w:bidi="en-US"/>
        </w:rPr>
        <w:t>ADAMYK</w:t>
      </w:r>
    </w:p>
    <w:p w:rsidR="00613F37" w:rsidRDefault="001C38A0">
      <w:pPr>
        <w:pStyle w:val="a5"/>
        <w:framePr w:w="9965" w:h="13647" w:hRule="exact" w:wrap="around" w:vAnchor="page" w:hAnchor="page" w:x="1028" w:y="1504"/>
        <w:shd w:val="clear" w:color="auto" w:fill="auto"/>
        <w:spacing w:after="291"/>
      </w:pPr>
      <w:r>
        <w:rPr>
          <w:lang w:val="en-US" w:eastAsia="en-US" w:bidi="en-US"/>
        </w:rPr>
        <w:t xml:space="preserve">PhD in Economics, Associate Professor E-mail: </w:t>
      </w:r>
      <w:hyperlink r:id="rId11" w:history="1">
        <w:r>
          <w:rPr>
            <w:rStyle w:val="a3"/>
            <w:lang w:val="en-US" w:eastAsia="en-US" w:bidi="en-US"/>
          </w:rPr>
          <w:t>bogdan_fbb@ukr.net</w:t>
        </w:r>
      </w:hyperlink>
      <w:r>
        <w:rPr>
          <w:lang w:val="en-US" w:eastAsia="en-US" w:bidi="en-US"/>
        </w:rPr>
        <w:t xml:space="preserve"> Ternopil National Economic University</w:t>
      </w:r>
    </w:p>
    <w:p w:rsidR="00613F37" w:rsidRDefault="001C38A0">
      <w:pPr>
        <w:pStyle w:val="20"/>
        <w:framePr w:w="9965" w:h="13647" w:hRule="exact" w:wrap="around" w:vAnchor="page" w:hAnchor="page" w:x="1028" w:y="1504"/>
        <w:shd w:val="clear" w:color="auto" w:fill="auto"/>
        <w:spacing w:before="0" w:line="210" w:lineRule="exact"/>
        <w:jc w:val="center"/>
      </w:pPr>
      <w:r>
        <w:rPr>
          <w:lang w:val="en-US" w:eastAsia="en-US" w:bidi="en-US"/>
        </w:rPr>
        <w:t>Andrii SKIRKA</w:t>
      </w:r>
    </w:p>
    <w:p w:rsidR="00613F37" w:rsidRDefault="001C38A0">
      <w:pPr>
        <w:pStyle w:val="a5"/>
        <w:framePr w:w="9965" w:h="13647" w:hRule="exact" w:wrap="around" w:vAnchor="page" w:hAnchor="page" w:x="1028" w:y="1504"/>
        <w:shd w:val="clear" w:color="auto" w:fill="auto"/>
        <w:spacing w:after="233" w:line="269" w:lineRule="exact"/>
      </w:pPr>
      <w:r>
        <w:rPr>
          <w:lang w:val="en-US" w:eastAsia="en-US" w:bidi="en-US"/>
        </w:rPr>
        <w:t xml:space="preserve">Phd Student E-mail: </w:t>
      </w:r>
      <w:hyperlink r:id="rId12" w:history="1">
        <w:r>
          <w:rPr>
            <w:rStyle w:val="a3"/>
            <w:lang w:val="en-US" w:eastAsia="en-US" w:bidi="en-US"/>
          </w:rPr>
          <w:t>skirka92@mail.ru</w:t>
        </w:r>
      </w:hyperlink>
    </w:p>
    <w:p w:rsidR="00613F37" w:rsidRDefault="001C38A0">
      <w:pPr>
        <w:pStyle w:val="20"/>
        <w:framePr w:w="9965" w:h="13647" w:hRule="exact" w:wrap="around" w:vAnchor="page" w:hAnchor="page" w:x="1028" w:y="1504"/>
        <w:shd w:val="clear" w:color="auto" w:fill="auto"/>
        <w:spacing w:before="0" w:after="282" w:line="278" w:lineRule="exact"/>
        <w:jc w:val="center"/>
      </w:pPr>
      <w:r>
        <w:rPr>
          <w:lang w:val="en-US" w:eastAsia="en-US" w:bidi="en-US"/>
        </w:rPr>
        <w:t>INTERNATIONAL EXPERIENCE OF THE DEPOSIT GUARANTEE SYSTEM AND THE OPPORTUNITY TO USE IT IN UKRAINE</w:t>
      </w:r>
    </w:p>
    <w:p w:rsidR="00613F37" w:rsidRDefault="001C38A0">
      <w:pPr>
        <w:pStyle w:val="30"/>
        <w:framePr w:w="9965" w:h="13647" w:hRule="exact" w:wrap="around" w:vAnchor="page" w:hAnchor="page" w:x="1028" w:y="1504"/>
        <w:shd w:val="clear" w:color="auto" w:fill="auto"/>
        <w:spacing w:before="0"/>
      </w:pPr>
      <w:r>
        <w:t>Abstract</w:t>
      </w:r>
    </w:p>
    <w:p w:rsidR="00613F37" w:rsidRDefault="001C38A0">
      <w:pPr>
        <w:pStyle w:val="40"/>
        <w:framePr w:w="9965" w:h="13647" w:hRule="exact" w:wrap="around" w:vAnchor="page" w:hAnchor="page" w:x="1028" w:y="1504"/>
        <w:shd w:val="clear" w:color="auto" w:fill="auto"/>
        <w:ind w:left="20" w:right="20"/>
      </w:pPr>
      <w:r>
        <w:t>Economic growth is impossible without reliable and stable functioning of the banking system. In the current economic conditions the increase ofpublic confidence in the banks, through the development of national deposit guarantee system are particularly rel</w:t>
      </w:r>
      <w:r>
        <w:t>evant. The aim of study can be determined</w:t>
      </w:r>
      <w:r>
        <w:rPr>
          <w:rStyle w:val="40pt"/>
        </w:rPr>
        <w:t xml:space="preserve"> as </w:t>
      </w:r>
      <w:r>
        <w:t>analysis of international experience of the deposit guarantee system and certain some aspects of the proceedings in Ukraine.</w:t>
      </w:r>
    </w:p>
    <w:p w:rsidR="00613F37" w:rsidRDefault="001C38A0">
      <w:pPr>
        <w:pStyle w:val="40"/>
        <w:framePr w:w="9965" w:h="13647" w:hRule="exact" w:wrap="around" w:vAnchor="page" w:hAnchor="page" w:x="1028" w:y="1504"/>
        <w:shd w:val="clear" w:color="auto" w:fill="auto"/>
        <w:ind w:left="20" w:right="20"/>
      </w:pPr>
      <w:r>
        <w:t xml:space="preserve">The article presents the classification of of deposit insurance system and its </w:t>
      </w:r>
      <w:r>
        <w:t>functionality in the leading countries. Also analyzed the existence of moral hazard in determining the size and facilities refund deposits.</w:t>
      </w:r>
    </w:p>
    <w:p w:rsidR="00613F37" w:rsidRDefault="001C38A0">
      <w:pPr>
        <w:pStyle w:val="40"/>
        <w:framePr w:w="9965" w:h="13647" w:hRule="exact" w:wrap="around" w:vAnchor="page" w:hAnchor="page" w:x="1028" w:y="1504"/>
        <w:shd w:val="clear" w:color="auto" w:fill="auto"/>
        <w:ind w:left="20" w:right="20"/>
      </w:pPr>
      <w:r>
        <w:t>It has been pointed the comparative description of the main aspects of legislation deposit insurance in the EU and U</w:t>
      </w:r>
      <w:r>
        <w:t>kraine. Analyzed the amount offinancial resources Federal Deposit Insurance Corporation United States of America. Posted certain aspects of deposit insurance in Federal Republic of Germany and the United Kingdom. Also analyzed the Core Principles for Effec</w:t>
      </w:r>
      <w:r>
        <w:t>tive Deposit Insurance wich developed International Association of Deposit Insurers.</w:t>
      </w:r>
    </w:p>
    <w:p w:rsidR="00613F37" w:rsidRDefault="001C38A0">
      <w:pPr>
        <w:pStyle w:val="40"/>
        <w:framePr w:w="9965" w:h="13647" w:hRule="exact" w:wrap="around" w:vAnchor="page" w:hAnchor="page" w:x="1028" w:y="1504"/>
        <w:shd w:val="clear" w:color="auto" w:fill="auto"/>
        <w:ind w:left="20"/>
      </w:pPr>
      <w:r>
        <w:t>It has been pointed some recommendations to improvement of the national deposit insurance system.</w:t>
      </w:r>
    </w:p>
    <w:p w:rsidR="00613F37" w:rsidRDefault="001C38A0">
      <w:pPr>
        <w:pStyle w:val="40"/>
        <w:framePr w:w="9965" w:h="13647" w:hRule="exact" w:wrap="around" w:vAnchor="page" w:hAnchor="page" w:x="1028" w:y="1504"/>
        <w:shd w:val="clear" w:color="auto" w:fill="auto"/>
        <w:ind w:left="20"/>
      </w:pPr>
      <w:r>
        <w:rPr>
          <w:rStyle w:val="41"/>
          <w:i/>
          <w:iCs/>
          <w:lang w:val="en-US" w:eastAsia="en-US" w:bidi="en-US"/>
        </w:rPr>
        <w:t xml:space="preserve">Keywords: </w:t>
      </w:r>
      <w:r>
        <w:t>savings deposit, bank, insurance, depositor.</w:t>
      </w:r>
    </w:p>
    <w:p w:rsidR="00613F37" w:rsidRPr="00045E84" w:rsidRDefault="001C38A0">
      <w:pPr>
        <w:pStyle w:val="30"/>
        <w:framePr w:w="9965" w:h="13647" w:hRule="exact" w:wrap="around" w:vAnchor="page" w:hAnchor="page" w:x="1028" w:y="1504"/>
        <w:shd w:val="clear" w:color="auto" w:fill="auto"/>
        <w:spacing w:before="0" w:after="322"/>
        <w:ind w:left="20" w:firstLine="560"/>
        <w:jc w:val="both"/>
        <w:rPr>
          <w:lang w:val="ru-RU"/>
        </w:rPr>
      </w:pPr>
      <w:r>
        <w:t>JEL</w:t>
      </w:r>
      <w:r w:rsidRPr="00045E84">
        <w:rPr>
          <w:lang w:val="ru-RU"/>
        </w:rPr>
        <w:t xml:space="preserve"> </w:t>
      </w:r>
      <w:r>
        <w:t>Class</w:t>
      </w:r>
      <w:r w:rsidRPr="00045E84">
        <w:rPr>
          <w:lang w:val="ru-RU"/>
        </w:rPr>
        <w:t>і</w:t>
      </w:r>
      <w:r>
        <w:t>f</w:t>
      </w:r>
      <w:r w:rsidRPr="00045E84">
        <w:rPr>
          <w:lang w:val="ru-RU"/>
        </w:rPr>
        <w:t>і</w:t>
      </w:r>
      <w:r>
        <w:t>cat</w:t>
      </w:r>
      <w:r w:rsidRPr="00045E84">
        <w:rPr>
          <w:lang w:val="ru-RU"/>
        </w:rPr>
        <w:t>і</w:t>
      </w:r>
      <w:r>
        <w:t>on</w:t>
      </w:r>
      <w:r w:rsidRPr="00045E84">
        <w:rPr>
          <w:lang w:val="ru-RU"/>
        </w:rPr>
        <w:t xml:space="preserve">: </w:t>
      </w:r>
      <w:r>
        <w:t>G</w:t>
      </w:r>
      <w:r w:rsidRPr="00045E84">
        <w:rPr>
          <w:lang w:val="ru-RU"/>
        </w:rPr>
        <w:t>21</w:t>
      </w:r>
    </w:p>
    <w:p w:rsidR="00613F37" w:rsidRDefault="001C38A0">
      <w:pPr>
        <w:pStyle w:val="a5"/>
        <w:framePr w:w="9965" w:h="13647" w:hRule="exact" w:wrap="around" w:vAnchor="page" w:hAnchor="page" w:x="1028" w:y="1504"/>
        <w:shd w:val="clear" w:color="auto" w:fill="auto"/>
        <w:spacing w:after="0"/>
        <w:ind w:left="20" w:right="20" w:firstLine="560"/>
        <w:jc w:val="both"/>
      </w:pPr>
      <w:r>
        <w:rPr>
          <w:rStyle w:val="0pt"/>
        </w:rPr>
        <w:t xml:space="preserve">Постановка проблеми. </w:t>
      </w:r>
      <w:r>
        <w:t>Із набутого світового досвіду країн, економіки яких переживали фінансові кризи, виявлено, що значний комерційний ризик банків та їхнє банкрутство несе у собі ланцюгову реакцію, яка поширюється на інші банки, шляхом вилучення вкла</w:t>
      </w:r>
      <w:r>
        <w:t>дниками своїх заощаджень. Масштабні кризи у банківському секторі, паніка, а за нею і масове вилучення вкладів, змусили ряд країн замислитися над прийняттям програм страхування банківських депозитів. Саме страхування (гарантування) банківських депозитів від</w:t>
      </w:r>
      <w:r>
        <w:t>іграє значну роль у підвищенні інвестиційної привабливості банківської системи та успішно діє в багатьох країнах світу.</w:t>
      </w:r>
    </w:p>
    <w:p w:rsidR="00613F37" w:rsidRDefault="001C38A0">
      <w:pPr>
        <w:pStyle w:val="a5"/>
        <w:framePr w:w="9965" w:h="13647" w:hRule="exact" w:wrap="around" w:vAnchor="page" w:hAnchor="page" w:x="1028" w:y="1504"/>
        <w:shd w:val="clear" w:color="auto" w:fill="auto"/>
        <w:spacing w:after="0"/>
        <w:ind w:left="20" w:right="20" w:firstLine="560"/>
        <w:jc w:val="both"/>
      </w:pPr>
      <w:r>
        <w:rPr>
          <w:rStyle w:val="0pt"/>
        </w:rPr>
        <w:t>Аналіз останніх досліджень і публікацій.</w:t>
      </w:r>
      <w:r>
        <w:t xml:space="preserve">Питанням гарантування банківських вкладів присвячено праці багатьох українських та зарубіжних </w:t>
      </w:r>
      <w:r>
        <w:t>учених, зокрема В. Огієнко, Т. Смовженко, І. Серветник, К. Медісон, М. Радулеску, Л. Лейвен та ін.</w:t>
      </w:r>
    </w:p>
    <w:p w:rsidR="00613F37" w:rsidRDefault="001C38A0">
      <w:pPr>
        <w:pStyle w:val="20"/>
        <w:framePr w:w="9965" w:h="13647" w:hRule="exact" w:wrap="around" w:vAnchor="page" w:hAnchor="page" w:x="1028" w:y="1504"/>
        <w:shd w:val="clear" w:color="auto" w:fill="auto"/>
        <w:spacing w:before="0"/>
        <w:ind w:left="20" w:firstLine="560"/>
      </w:pPr>
      <w:r>
        <w:t xml:space="preserve">Постановка завдання. </w:t>
      </w:r>
      <w:r>
        <w:rPr>
          <w:rStyle w:val="20pt"/>
        </w:rPr>
        <w:t>Метою статті є:</w:t>
      </w:r>
    </w:p>
    <w:p w:rsidR="00613F37" w:rsidRDefault="001C38A0">
      <w:pPr>
        <w:pStyle w:val="a5"/>
        <w:framePr w:w="9965" w:h="13647" w:hRule="exact" w:wrap="around" w:vAnchor="page" w:hAnchor="page" w:x="1028" w:y="1504"/>
        <w:numPr>
          <w:ilvl w:val="0"/>
          <w:numId w:val="1"/>
        </w:numPr>
        <w:shd w:val="clear" w:color="auto" w:fill="auto"/>
        <w:spacing w:after="0"/>
        <w:ind w:left="20" w:firstLine="560"/>
        <w:jc w:val="both"/>
      </w:pPr>
      <w:r>
        <w:t xml:space="preserve"> аналіз зарубіжного досвіду функціонування системи гарантування вкладів;</w:t>
      </w:r>
    </w:p>
    <w:p w:rsidR="00613F37" w:rsidRDefault="001C38A0">
      <w:pPr>
        <w:pStyle w:val="a5"/>
        <w:framePr w:w="9965" w:h="13647" w:hRule="exact" w:wrap="around" w:vAnchor="page" w:hAnchor="page" w:x="1028" w:y="1504"/>
        <w:numPr>
          <w:ilvl w:val="0"/>
          <w:numId w:val="1"/>
        </w:numPr>
        <w:shd w:val="clear" w:color="auto" w:fill="auto"/>
        <w:spacing w:after="0"/>
        <w:ind w:left="20" w:right="20" w:firstLine="560"/>
        <w:jc w:val="both"/>
      </w:pPr>
      <w:r>
        <w:t xml:space="preserve"> подання класифікації систем страхування депозитів, на основі зарубіжного досвіду та їх історичного розвитку;</w:t>
      </w:r>
    </w:p>
    <w:p w:rsidR="00613F37" w:rsidRDefault="001C38A0">
      <w:pPr>
        <w:pStyle w:val="a5"/>
        <w:framePr w:w="9965" w:h="13647" w:hRule="exact" w:wrap="around" w:vAnchor="page" w:hAnchor="page" w:x="1028" w:y="1504"/>
        <w:shd w:val="clear" w:color="auto" w:fill="auto"/>
        <w:spacing w:after="0"/>
        <w:ind w:left="20" w:firstLine="560"/>
        <w:jc w:val="both"/>
      </w:pPr>
      <w:r>
        <w:t>-розкриття особливостей функціонування системи страхування вкладів провідних країн</w:t>
      </w:r>
    </w:p>
    <w:p w:rsidR="00613F37" w:rsidRDefault="001C38A0">
      <w:pPr>
        <w:pStyle w:val="a5"/>
        <w:framePr w:w="9965" w:h="13647" w:hRule="exact" w:wrap="around" w:vAnchor="page" w:hAnchor="page" w:x="1028" w:y="1504"/>
        <w:shd w:val="clear" w:color="auto" w:fill="auto"/>
        <w:spacing w:after="0"/>
        <w:ind w:left="20"/>
        <w:jc w:val="left"/>
      </w:pPr>
      <w:r>
        <w:t>світу.</w:t>
      </w:r>
    </w:p>
    <w:p w:rsidR="00613F37" w:rsidRDefault="001C38A0">
      <w:pPr>
        <w:pStyle w:val="a5"/>
        <w:framePr w:w="9965" w:h="13647" w:hRule="exact" w:wrap="around" w:vAnchor="page" w:hAnchor="page" w:x="1028" w:y="1504"/>
        <w:shd w:val="clear" w:color="auto" w:fill="auto"/>
        <w:spacing w:after="0"/>
        <w:ind w:left="20" w:right="20" w:firstLine="560"/>
        <w:jc w:val="both"/>
      </w:pPr>
      <w:r>
        <w:rPr>
          <w:rStyle w:val="0pt"/>
        </w:rPr>
        <w:t xml:space="preserve">Виклад основного матеріалу дослідження. </w:t>
      </w:r>
      <w:r>
        <w:t>Економічна криза</w:t>
      </w:r>
      <w:r>
        <w:t xml:space="preserve"> 1929-1933 років у США поклала початок створення світової системи страхування депозитів (ССД), яка має понад 85- річну історію свого розвитку та вдосконалення. Головна ціль заснування </w:t>
      </w:r>
      <w:r>
        <w:rPr>
          <w:lang w:val="en-US" w:eastAsia="en-US" w:bidi="en-US"/>
        </w:rPr>
        <w:t>FDIC</w:t>
      </w:r>
      <w:r w:rsidRPr="00045E84">
        <w:rPr>
          <w:lang w:eastAsia="en-US" w:bidi="en-US"/>
        </w:rPr>
        <w:t xml:space="preserve"> </w:t>
      </w:r>
      <w:r>
        <w:t>полягала у підвищенні впевненості вкладників у банківській системі,</w:t>
      </w:r>
      <w:r>
        <w:t xml:space="preserve"> яка була втрачена значною кількістю банкрутств банків.</w:t>
      </w:r>
    </w:p>
    <w:p w:rsidR="00613F37" w:rsidRDefault="001C38A0">
      <w:pPr>
        <w:pStyle w:val="a5"/>
        <w:framePr w:w="9965" w:h="13647" w:hRule="exact" w:wrap="around" w:vAnchor="page" w:hAnchor="page" w:x="1028" w:y="1504"/>
        <w:shd w:val="clear" w:color="auto" w:fill="auto"/>
        <w:spacing w:after="0"/>
        <w:ind w:left="20" w:right="20" w:firstLine="560"/>
        <w:jc w:val="both"/>
      </w:pPr>
      <w:r>
        <w:t>З того часу, за сприянням МВФ та Світового банку, багато країн почали запроваджувати дану систему. Створення її на міжнародному рівні, з однаковими правилами та принципами</w:t>
      </w:r>
    </w:p>
    <w:p w:rsidR="00613F37" w:rsidRDefault="001C38A0">
      <w:pPr>
        <w:pStyle w:val="a7"/>
        <w:framePr w:wrap="around" w:vAnchor="page" w:hAnchor="page" w:x="1028" w:y="15696"/>
        <w:shd w:val="clear" w:color="auto" w:fill="auto"/>
        <w:spacing w:line="180" w:lineRule="exact"/>
        <w:ind w:left="20"/>
      </w:pPr>
      <w:r>
        <w:t>40</w:t>
      </w:r>
    </w:p>
    <w:p w:rsidR="00613F37" w:rsidRDefault="00613F37">
      <w:pPr>
        <w:rPr>
          <w:sz w:val="2"/>
          <w:szCs w:val="2"/>
        </w:rPr>
        <w:sectPr w:rsidR="00613F37">
          <w:pgSz w:w="11909" w:h="16838"/>
          <w:pgMar w:top="0" w:right="0" w:bottom="0" w:left="0" w:header="0" w:footer="3" w:gutter="0"/>
          <w:cols w:space="720"/>
          <w:noEndnote/>
          <w:docGrid w:linePitch="360"/>
        </w:sectPr>
      </w:pPr>
    </w:p>
    <w:p w:rsidR="00613F37" w:rsidRDefault="001C38A0">
      <w:pPr>
        <w:pStyle w:val="a5"/>
        <w:framePr w:w="9941" w:h="13666" w:hRule="exact" w:wrap="around" w:vAnchor="page" w:hAnchor="page" w:x="1040" w:y="1140"/>
        <w:shd w:val="clear" w:color="auto" w:fill="auto"/>
        <w:spacing w:after="0"/>
        <w:ind w:left="20" w:right="20"/>
        <w:jc w:val="both"/>
      </w:pPr>
      <w:r>
        <w:lastRenderedPageBreak/>
        <w:t xml:space="preserve">ефективного функціонування, відбулось за рахунок Міжнародної Асоціації страховиків депозитів (МАСД, </w:t>
      </w:r>
      <w:r>
        <w:rPr>
          <w:lang w:val="en-US" w:eastAsia="en-US" w:bidi="en-US"/>
        </w:rPr>
        <w:t>IADI</w:t>
      </w:r>
      <w:r w:rsidRPr="00045E84">
        <w:rPr>
          <w:lang w:eastAsia="en-US" w:bidi="en-US"/>
        </w:rPr>
        <w:t xml:space="preserve">) </w:t>
      </w:r>
      <w:r>
        <w:t xml:space="preserve">та Європейського форуму страховиків депозитів (ЄФСД, </w:t>
      </w:r>
      <w:r>
        <w:rPr>
          <w:lang w:val="en-US" w:eastAsia="en-US" w:bidi="en-US"/>
        </w:rPr>
        <w:t>EFDI</w:t>
      </w:r>
      <w:r w:rsidRPr="00045E84">
        <w:rPr>
          <w:lang w:eastAsia="en-US" w:bidi="en-US"/>
        </w:rPr>
        <w:t xml:space="preserve">), </w:t>
      </w:r>
      <w:r>
        <w:t>які засновані у 2002 році. Дані організації є некомерційні і в основному мають на меті під</w:t>
      </w:r>
      <w:r>
        <w:t>тримку стабільності банківських систем, шляхом співпраці між країнами, створення можливостей для обміну інформацією та набутим досвідом з питань страхування депозитів, а також проведення досліджень та розробка загальних принципів ефективної системи страхув</w:t>
      </w:r>
      <w:r>
        <w:t>ання депозитів (ССД) [3, 2].</w:t>
      </w:r>
    </w:p>
    <w:p w:rsidR="00613F37" w:rsidRDefault="001C38A0">
      <w:pPr>
        <w:pStyle w:val="a5"/>
        <w:framePr w:w="9941" w:h="13666" w:hRule="exact" w:wrap="around" w:vAnchor="page" w:hAnchor="page" w:x="1040" w:y="1140"/>
        <w:shd w:val="clear" w:color="auto" w:fill="auto"/>
        <w:spacing w:after="0"/>
        <w:ind w:left="20" w:firstLine="560"/>
        <w:jc w:val="both"/>
      </w:pPr>
      <w:r>
        <w:t>Страхування вкладів класифікують за такими основними ознаками:</w:t>
      </w:r>
    </w:p>
    <w:p w:rsidR="00613F37" w:rsidRDefault="001C38A0">
      <w:pPr>
        <w:pStyle w:val="a5"/>
        <w:framePr w:w="9941" w:h="13666" w:hRule="exact" w:wrap="around" w:vAnchor="page" w:hAnchor="page" w:x="1040" w:y="1140"/>
        <w:numPr>
          <w:ilvl w:val="0"/>
          <w:numId w:val="1"/>
        </w:numPr>
        <w:shd w:val="clear" w:color="auto" w:fill="auto"/>
        <w:spacing w:after="0"/>
        <w:ind w:left="20" w:right="20" w:firstLine="560"/>
        <w:jc w:val="both"/>
      </w:pPr>
      <w:r>
        <w:t xml:space="preserve"> правове регулювання ССД: може бути як експліцитне (явне, формальне, відкрите) так і імпліцитне (неявне, приховане). У експліцитному страхуванні існують чіткі встан</w:t>
      </w:r>
      <w:r>
        <w:t>овлені правила, терміни, розміри виплат гарантованих сум за вкладами, а також конкретний порядок виведення неплатоспроможних банків з ринку (Австрія, Німеччина, Італія, Швейцарія, Україна та ін. (112 країн). Як правило, таке страхування застосують країни з</w:t>
      </w:r>
      <w:r>
        <w:t xml:space="preserve"> високим та середнім рівнем доходу. Імпліцитне страхування характеризується відсутністю фонду та чіткого законодавства, який би визначав способи захисту вкладів, однак за рішенням державних органів, при настанні банкрутства банку, можлива виплата страхових</w:t>
      </w:r>
      <w:r>
        <w:t xml:space="preserve"> сум вкладникам (Ангола, Ізраїль, Нова Зеландія та ін. (77 країн) [5];</w:t>
      </w:r>
    </w:p>
    <w:p w:rsidR="00613F37" w:rsidRDefault="001C38A0">
      <w:pPr>
        <w:pStyle w:val="a5"/>
        <w:framePr w:w="9941" w:h="13666" w:hRule="exact" w:wrap="around" w:vAnchor="page" w:hAnchor="page" w:x="1040" w:y="1140"/>
        <w:numPr>
          <w:ilvl w:val="0"/>
          <w:numId w:val="1"/>
        </w:numPr>
        <w:shd w:val="clear" w:color="auto" w:fill="auto"/>
        <w:spacing w:after="0"/>
        <w:ind w:left="20" w:firstLine="560"/>
        <w:jc w:val="both"/>
      </w:pPr>
      <w:r>
        <w:t xml:space="preserve"> механізм фінансування ССД, який поділяється на:</w:t>
      </w:r>
    </w:p>
    <w:p w:rsidR="00613F37" w:rsidRDefault="001C38A0">
      <w:pPr>
        <w:pStyle w:val="a5"/>
        <w:framePr w:w="9941" w:h="13666" w:hRule="exact" w:wrap="around" w:vAnchor="page" w:hAnchor="page" w:x="1040" w:y="1140"/>
        <w:shd w:val="clear" w:color="auto" w:fill="auto"/>
        <w:spacing w:after="0"/>
        <w:ind w:left="20" w:right="20" w:firstLine="560"/>
        <w:jc w:val="both"/>
      </w:pPr>
      <w:r>
        <w:t xml:space="preserve">а) авансовий платіж </w:t>
      </w:r>
      <w:r w:rsidRPr="00045E84">
        <w:rPr>
          <w:lang w:val="ru-RU" w:eastAsia="en-US" w:bidi="en-US"/>
        </w:rPr>
        <w:t>(</w:t>
      </w:r>
      <w:r>
        <w:rPr>
          <w:lang w:val="en-US" w:eastAsia="en-US" w:bidi="en-US"/>
        </w:rPr>
        <w:t>ex</w:t>
      </w:r>
      <w:r w:rsidRPr="00045E84">
        <w:rPr>
          <w:lang w:val="ru-RU" w:eastAsia="en-US" w:bidi="en-US"/>
        </w:rPr>
        <w:t>-</w:t>
      </w:r>
      <w:r>
        <w:rPr>
          <w:lang w:val="en-US" w:eastAsia="en-US" w:bidi="en-US"/>
        </w:rPr>
        <w:t>ante</w:t>
      </w:r>
      <w:r w:rsidRPr="00045E84">
        <w:rPr>
          <w:lang w:val="ru-RU" w:eastAsia="en-US" w:bidi="en-US"/>
        </w:rPr>
        <w:t xml:space="preserve">) </w:t>
      </w:r>
      <w:r>
        <w:t xml:space="preserve">- характеризується залученням коштів (страхових премій) від учасників ССД та створенням фонду. Страхові </w:t>
      </w:r>
      <w:r>
        <w:t>премії обчислюється як певний відсоток від бази розрахунку (сукупний розмір вкладів, що підлягають страхуванню, в одному банку). Також може застосовуватися диференціація зборів, яка залежить від рівня ризиків активних операцій банків (США, Німеччина, Украї</w:t>
      </w:r>
      <w:r>
        <w:t>на та ін.);</w:t>
      </w:r>
    </w:p>
    <w:p w:rsidR="00613F37" w:rsidRDefault="001C38A0">
      <w:pPr>
        <w:pStyle w:val="a5"/>
        <w:framePr w:w="9941" w:h="13666" w:hRule="exact" w:wrap="around" w:vAnchor="page" w:hAnchor="page" w:x="1040" w:y="1140"/>
        <w:shd w:val="clear" w:color="auto" w:fill="auto"/>
        <w:spacing w:after="0"/>
        <w:ind w:left="20" w:right="20" w:firstLine="560"/>
        <w:jc w:val="both"/>
      </w:pPr>
      <w:r>
        <w:t xml:space="preserve">б) по факту </w:t>
      </w:r>
      <w:r w:rsidRPr="00045E84">
        <w:rPr>
          <w:lang w:val="ru-RU" w:eastAsia="en-US" w:bidi="en-US"/>
        </w:rPr>
        <w:t>(</w:t>
      </w:r>
      <w:r>
        <w:rPr>
          <w:lang w:val="en-US" w:eastAsia="en-US" w:bidi="en-US"/>
        </w:rPr>
        <w:t>ex</w:t>
      </w:r>
      <w:r w:rsidRPr="00045E84">
        <w:rPr>
          <w:lang w:val="ru-RU" w:eastAsia="en-US" w:bidi="en-US"/>
        </w:rPr>
        <w:t>-</w:t>
      </w:r>
      <w:r>
        <w:rPr>
          <w:lang w:val="en-US" w:eastAsia="en-US" w:bidi="en-US"/>
        </w:rPr>
        <w:t>post</w:t>
      </w:r>
      <w:r w:rsidRPr="00045E84">
        <w:rPr>
          <w:lang w:val="ru-RU" w:eastAsia="en-US" w:bidi="en-US"/>
        </w:rPr>
        <w:t xml:space="preserve">) </w:t>
      </w:r>
      <w:r>
        <w:t>- кошти акумулюються тільки у випадку банкрутства банку. Якщо таке відбудеться у період економічного спаду, іншим банкам ймовірно доведеться внести більше коштів. Ця циклічна особливість підвищує системний ризик. Даний вид</w:t>
      </w:r>
      <w:r>
        <w:t xml:space="preserve"> фінансування вимагає ефективного банківського нагляду та стабільну банківську систему, у якій практично відсутні кризові явища (Австралія, Австрія, Греція, Італія, Нідерланди, Швейцарія та ін.);</w:t>
      </w:r>
    </w:p>
    <w:p w:rsidR="00613F37" w:rsidRDefault="001C38A0">
      <w:pPr>
        <w:pStyle w:val="a5"/>
        <w:framePr w:w="9941" w:h="13666" w:hRule="exact" w:wrap="around" w:vAnchor="page" w:hAnchor="page" w:x="1040" w:y="1140"/>
        <w:shd w:val="clear" w:color="auto" w:fill="auto"/>
        <w:spacing w:after="0"/>
        <w:ind w:left="20" w:right="20" w:firstLine="560"/>
        <w:jc w:val="both"/>
      </w:pPr>
      <w:r>
        <w:t>в) змішаний. Існує як авансовий платіж, так і, за необхіднос</w:t>
      </w:r>
      <w:r>
        <w:t>ті, включає механізм додаткового фінансування банками, через спеціальні премії, податки або кредити [12];</w:t>
      </w:r>
    </w:p>
    <w:p w:rsidR="00613F37" w:rsidRDefault="001C38A0">
      <w:pPr>
        <w:pStyle w:val="a5"/>
        <w:framePr w:w="9941" w:h="13666" w:hRule="exact" w:wrap="around" w:vAnchor="page" w:hAnchor="page" w:x="1040" w:y="1140"/>
        <w:numPr>
          <w:ilvl w:val="0"/>
          <w:numId w:val="1"/>
        </w:numPr>
        <w:shd w:val="clear" w:color="auto" w:fill="auto"/>
        <w:spacing w:after="0"/>
        <w:ind w:left="20" w:right="20" w:firstLine="560"/>
        <w:jc w:val="both"/>
      </w:pPr>
      <w:r>
        <w:t xml:space="preserve"> форма власності та управління ССД: державна, приватна, змішана. У державній системі створюється установа, яка не має не меті отримання прибутку (США,</w:t>
      </w:r>
      <w:r>
        <w:t xml:space="preserve"> Англія, Швеція, Україна та ін.). Приватна - діє на комерційних засадах та переслідує свої інтереси, держава, як правило, не втручається в дані процеси (Австрія, Іспанія, Італія та ін.). В основі змішаної системи перебуває орган, яким керують спільно і дер</w:t>
      </w:r>
      <w:r>
        <w:t xml:space="preserve">жава, і банківські організації (Кіпр, Греція, Японія та ін.) </w:t>
      </w:r>
      <w:r>
        <w:rPr>
          <w:lang w:val="ru-RU" w:eastAsia="ru-RU" w:bidi="ru-RU"/>
        </w:rPr>
        <w:t>[б];</w:t>
      </w:r>
    </w:p>
    <w:p w:rsidR="00613F37" w:rsidRDefault="001C38A0">
      <w:pPr>
        <w:pStyle w:val="a5"/>
        <w:framePr w:w="9941" w:h="13666" w:hRule="exact" w:wrap="around" w:vAnchor="page" w:hAnchor="page" w:x="1040" w:y="1140"/>
        <w:numPr>
          <w:ilvl w:val="0"/>
          <w:numId w:val="1"/>
        </w:numPr>
        <w:shd w:val="clear" w:color="auto" w:fill="auto"/>
        <w:spacing w:after="0"/>
        <w:ind w:left="20" w:right="20" w:firstLine="560"/>
        <w:jc w:val="both"/>
      </w:pPr>
      <w:r>
        <w:t xml:space="preserve"> фінансова участь держави у ССД: пряма та опосередкована. Пряма участь передбачає надання фонду початкового капіталу для його функціонування та/або здійснення регулярних внесків до страховог</w:t>
      </w:r>
      <w:r>
        <w:t>о фонду (Японія, Іспанія, Індія та ін.). У разі нестачі грошових коштів, країна може дофінансувати фонд, шляхом випуску кредитних облігацій Міністерством фінансів, що гарантуються урядом або ж отримати доступ до фінансування від Центрального банку - опосер</w:t>
      </w:r>
      <w:r>
        <w:t xml:space="preserve">едковано </w:t>
      </w:r>
      <w:r w:rsidRPr="00045E84">
        <w:rPr>
          <w:lang w:eastAsia="ru-RU" w:bidi="ru-RU"/>
        </w:rPr>
        <w:t xml:space="preserve">(США, </w:t>
      </w:r>
      <w:r>
        <w:t>Англія, Австрія, Україна та ін.) [б];</w:t>
      </w:r>
    </w:p>
    <w:p w:rsidR="00613F37" w:rsidRDefault="001C38A0">
      <w:pPr>
        <w:pStyle w:val="a5"/>
        <w:framePr w:w="9941" w:h="13666" w:hRule="exact" w:wrap="around" w:vAnchor="page" w:hAnchor="page" w:x="1040" w:y="1140"/>
        <w:numPr>
          <w:ilvl w:val="0"/>
          <w:numId w:val="1"/>
        </w:numPr>
        <w:shd w:val="clear" w:color="auto" w:fill="auto"/>
        <w:spacing w:after="0"/>
        <w:ind w:left="20" w:right="20" w:firstLine="560"/>
        <w:jc w:val="both"/>
      </w:pPr>
      <w:r>
        <w:t xml:space="preserve"> розмір та об’єкт відшкодувань: повний, обмежений, вклади в національній чи іноземній валютах, вклади фізичних та юридичних осіб. Відшкодування вкладу у повному розмірі може збільшити ризиковість операці</w:t>
      </w:r>
      <w:r>
        <w:t>й, як зі сторони вкладника, так і зі сторони банку. Оскільки вкладник, знаючи, що його вклад відшкодують у повному обсязі, - не аналізує банківську систему, де він виступає її «інвестором». А банк тим часом може проводити ризикову політику нарощування кред</w:t>
      </w:r>
      <w:r>
        <w:t xml:space="preserve">итування та не дотримуватись банківських нормативів </w:t>
      </w:r>
      <w:r w:rsidRPr="00045E84">
        <w:rPr>
          <w:lang w:val="ru-RU" w:eastAsia="en-US" w:bidi="en-US"/>
        </w:rPr>
        <w:t>(</w:t>
      </w:r>
      <w:r>
        <w:rPr>
          <w:lang w:val="en-US" w:eastAsia="en-US" w:bidi="en-US"/>
        </w:rPr>
        <w:t>moral</w:t>
      </w:r>
      <w:r w:rsidRPr="00045E84">
        <w:rPr>
          <w:lang w:val="ru-RU" w:eastAsia="en-US" w:bidi="en-US"/>
        </w:rPr>
        <w:t xml:space="preserve"> </w:t>
      </w:r>
      <w:r>
        <w:rPr>
          <w:lang w:val="en-US" w:eastAsia="en-US" w:bidi="en-US"/>
        </w:rPr>
        <w:t>hazard</w:t>
      </w:r>
      <w:r w:rsidRPr="00045E84">
        <w:rPr>
          <w:lang w:val="ru-RU" w:eastAsia="en-US" w:bidi="en-US"/>
        </w:rPr>
        <w:t xml:space="preserve"> </w:t>
      </w:r>
      <w:r>
        <w:t>- моральний ризик). Незначна кількість країн відшкодовують вклади у іноземній</w:t>
      </w:r>
    </w:p>
    <w:p w:rsidR="00613F37" w:rsidRDefault="001C38A0">
      <w:pPr>
        <w:pStyle w:val="a7"/>
        <w:framePr w:wrap="around" w:vAnchor="page" w:hAnchor="page" w:x="1026" w:y="15658"/>
        <w:shd w:val="clear" w:color="auto" w:fill="auto"/>
        <w:spacing w:line="180" w:lineRule="exact"/>
        <w:ind w:left="20"/>
      </w:pPr>
      <w:r>
        <w:rPr>
          <w:lang w:val="en-US" w:eastAsia="en-US" w:bidi="en-US"/>
        </w:rPr>
        <w:t xml:space="preserve">ISSN </w:t>
      </w:r>
      <w:r>
        <w:t>1818-2682. Наука молода, 2015 рік. № 23</w:t>
      </w:r>
    </w:p>
    <w:p w:rsidR="00613F37" w:rsidRDefault="001C38A0">
      <w:pPr>
        <w:pStyle w:val="a7"/>
        <w:framePr w:wrap="around" w:vAnchor="page" w:hAnchor="page" w:x="10746" w:y="15662"/>
        <w:shd w:val="clear" w:color="auto" w:fill="auto"/>
        <w:spacing w:line="180" w:lineRule="exact"/>
        <w:ind w:left="20"/>
      </w:pPr>
      <w:r>
        <w:t>41</w:t>
      </w:r>
    </w:p>
    <w:p w:rsidR="00613F37" w:rsidRDefault="00613F37">
      <w:pPr>
        <w:rPr>
          <w:sz w:val="2"/>
          <w:szCs w:val="2"/>
        </w:rPr>
        <w:sectPr w:rsidR="00613F37">
          <w:pgSz w:w="11909" w:h="16838"/>
          <w:pgMar w:top="0" w:right="0" w:bottom="0" w:left="0" w:header="0" w:footer="3" w:gutter="0"/>
          <w:cols w:space="720"/>
          <w:noEndnote/>
          <w:docGrid w:linePitch="360"/>
        </w:sectPr>
      </w:pPr>
    </w:p>
    <w:p w:rsidR="00613F37" w:rsidRDefault="001C38A0">
      <w:pPr>
        <w:pStyle w:val="a5"/>
        <w:framePr w:w="9941" w:h="13027" w:hRule="exact" w:wrap="around" w:vAnchor="page" w:hAnchor="page" w:x="1040" w:y="1226"/>
        <w:shd w:val="clear" w:color="auto" w:fill="auto"/>
        <w:spacing w:after="0"/>
        <w:ind w:left="20" w:right="20"/>
        <w:jc w:val="both"/>
      </w:pPr>
      <w:r>
        <w:lastRenderedPageBreak/>
        <w:t xml:space="preserve">валюті - національною, за курсом, </w:t>
      </w:r>
      <w:r>
        <w:t>встановленим центральним банком, деякі країни встановлюють ліміт покриття для таких депозитів [5].</w:t>
      </w:r>
    </w:p>
    <w:p w:rsidR="00613F37" w:rsidRDefault="001C38A0">
      <w:pPr>
        <w:pStyle w:val="a5"/>
        <w:framePr w:w="9941" w:h="13027" w:hRule="exact" w:wrap="around" w:vAnchor="page" w:hAnchor="page" w:x="1040" w:y="1226"/>
        <w:shd w:val="clear" w:color="auto" w:fill="auto"/>
        <w:spacing w:after="0"/>
        <w:ind w:left="20" w:right="20" w:firstLine="560"/>
        <w:jc w:val="both"/>
      </w:pPr>
      <w:r>
        <w:t xml:space="preserve">Звернемо увагу на страхування депозитів у Сполучених Штатах Америки. Так, учасниками Федеральної корпорації страхування депозитів </w:t>
      </w:r>
      <w:r w:rsidRPr="00045E84">
        <w:rPr>
          <w:lang w:val="ru-RU" w:eastAsia="en-US" w:bidi="en-US"/>
        </w:rPr>
        <w:t>(</w:t>
      </w:r>
      <w:r>
        <w:rPr>
          <w:lang w:val="en-US" w:eastAsia="en-US" w:bidi="en-US"/>
        </w:rPr>
        <w:t>FDIC</w:t>
      </w:r>
      <w:r w:rsidRPr="00045E84">
        <w:rPr>
          <w:lang w:val="ru-RU" w:eastAsia="en-US" w:bidi="en-US"/>
        </w:rPr>
        <w:t xml:space="preserve">) </w:t>
      </w:r>
      <w:r>
        <w:t xml:space="preserve">станом на 30 червня 2015 р. є 5 472 комерційних банків (85342 депозитів) і 876 ощадних установ (9653 депозитів). Розмір застрахованих вкладів становив 6,351 </w:t>
      </w:r>
      <w:r>
        <w:rPr>
          <w:lang w:val="ru-RU" w:eastAsia="ru-RU" w:bidi="ru-RU"/>
        </w:rPr>
        <w:t xml:space="preserve">млрд. дол. США, </w:t>
      </w:r>
      <w:r>
        <w:t xml:space="preserve">у той час як розмір фінансових ресурсів фонду становить 67,6 </w:t>
      </w:r>
      <w:r>
        <w:rPr>
          <w:lang w:val="ru-RU" w:eastAsia="ru-RU" w:bidi="ru-RU"/>
        </w:rPr>
        <w:t xml:space="preserve">млрд. дол. США. </w:t>
      </w:r>
      <w:r>
        <w:t>Держав</w:t>
      </w:r>
      <w:r>
        <w:t>а, у разі потреби, може надати кредит до 100 млрд. доларів [4].</w:t>
      </w:r>
    </w:p>
    <w:p w:rsidR="00613F37" w:rsidRDefault="001C38A0">
      <w:pPr>
        <w:pStyle w:val="a5"/>
        <w:framePr w:w="9941" w:h="13027" w:hRule="exact" w:wrap="around" w:vAnchor="page" w:hAnchor="page" w:x="1040" w:y="1226"/>
        <w:shd w:val="clear" w:color="auto" w:fill="auto"/>
        <w:spacing w:after="0"/>
        <w:ind w:left="20" w:right="20" w:firstLine="560"/>
        <w:jc w:val="both"/>
      </w:pPr>
      <w:r>
        <w:t xml:space="preserve">Популярність </w:t>
      </w:r>
      <w:r>
        <w:rPr>
          <w:lang w:val="en-US" w:eastAsia="en-US" w:bidi="en-US"/>
        </w:rPr>
        <w:t>FDIC</w:t>
      </w:r>
      <w:r w:rsidRPr="00045E84">
        <w:rPr>
          <w:lang w:eastAsia="en-US" w:bidi="en-US"/>
        </w:rPr>
        <w:t xml:space="preserve"> </w:t>
      </w:r>
      <w:r>
        <w:t>є високою через те, що банківська система США перенесла багато потрясінь, внаслідок чого йому, за свою понад 80-річну історію існування, довелося відшкодовувати значні суми к</w:t>
      </w:r>
      <w:r>
        <w:t>оштів, виводити банки із ринку, реалізовувати їхні активи, а також сприяти підвищенню ефективності цього механізму, шляхом наукових розробок та рекомендацій.</w:t>
      </w:r>
    </w:p>
    <w:p w:rsidR="00613F37" w:rsidRDefault="001C38A0">
      <w:pPr>
        <w:pStyle w:val="a5"/>
        <w:framePr w:w="9941" w:h="13027" w:hRule="exact" w:wrap="around" w:vAnchor="page" w:hAnchor="page" w:x="1040" w:y="1226"/>
        <w:shd w:val="clear" w:color="auto" w:fill="auto"/>
        <w:spacing w:after="0"/>
        <w:ind w:left="20" w:right="20" w:firstLine="560"/>
        <w:jc w:val="both"/>
      </w:pPr>
      <w:r>
        <w:t>Варто відмітити, що у Німеччині більш ліберально підходять до страхування вкладів, кожен банк добр</w:t>
      </w:r>
      <w:r>
        <w:t>овільно приймає рішення про участь у ССД. Ані держава, ані центральний Бундесбанк, котрий не виступає кредитором останньої інстанції, не мають прямого впливу щодо приватних фондів страхування вкладів, які створюються банківськими асоціаціями. На даний моме</w:t>
      </w:r>
      <w:r>
        <w:t>нт у Німеччині існують 6 фондів по страхуванню вкладів, кожен з яких створений асоціаціями по різних групах фінансових установ, котрі вносять щорічні платежі до фонду.</w:t>
      </w:r>
    </w:p>
    <w:p w:rsidR="00613F37" w:rsidRDefault="001C38A0">
      <w:pPr>
        <w:pStyle w:val="a5"/>
        <w:framePr w:w="9941" w:h="13027" w:hRule="exact" w:wrap="around" w:vAnchor="page" w:hAnchor="page" w:x="1040" w:y="1226"/>
        <w:shd w:val="clear" w:color="auto" w:fill="auto"/>
        <w:spacing w:after="0"/>
        <w:ind w:left="20" w:right="20" w:firstLine="560"/>
        <w:jc w:val="both"/>
      </w:pPr>
      <w:r>
        <w:t>Об’єктом страхування є майже усі види вкладів, окрім міжбанківських та боргових зобов’яз</w:t>
      </w:r>
      <w:r>
        <w:t xml:space="preserve">ань на пред’явника, і зобов’язань банку стосовно своїх керівників і засновників. Керівництво фондів має право корегувати порядок та розмір стягнення внесків, а також може припинити їх збір або збільшити, якщо коштів недостатньо. Страхування поширюється на </w:t>
      </w:r>
      <w:r>
        <w:t>вклади в євро, а також в іншій валюті, що діє на території країн Євросоюзу, але не більше встановленого Директивою 2014/49/ Євросоюзу Європейського Парламенту і Ради від 16 квітня 2014 року, 100 000 євро. Деякі приватні фонди надають необмежену гарантію, а</w:t>
      </w:r>
      <w:r>
        <w:t>бо ж не більше 30% значення власного капіталу банку [9].</w:t>
      </w:r>
    </w:p>
    <w:p w:rsidR="00613F37" w:rsidRDefault="001C38A0">
      <w:pPr>
        <w:pStyle w:val="a5"/>
        <w:framePr w:w="9941" w:h="13027" w:hRule="exact" w:wrap="around" w:vAnchor="page" w:hAnchor="page" w:x="1040" w:y="1226"/>
        <w:shd w:val="clear" w:color="auto" w:fill="auto"/>
        <w:spacing w:after="0"/>
        <w:ind w:left="20" w:right="20" w:firstLine="560"/>
        <w:jc w:val="both"/>
      </w:pPr>
      <w:r>
        <w:t xml:space="preserve">У Великобританії початок розвитку ССД пов’язують із Банківським актом 1979 </w:t>
      </w:r>
      <w:r w:rsidRPr="00045E84">
        <w:rPr>
          <w:lang w:eastAsia="ru-RU" w:bidi="ru-RU"/>
        </w:rPr>
        <w:t xml:space="preserve">р., </w:t>
      </w:r>
      <w:r>
        <w:t xml:space="preserve">хоча сам фонд, як самостійна юридична установа почав функціонувати з </w:t>
      </w:r>
      <w:r w:rsidRPr="00045E84">
        <w:rPr>
          <w:lang w:eastAsia="en-US" w:bidi="en-US"/>
        </w:rPr>
        <w:t xml:space="preserve">19.02.1982 </w:t>
      </w:r>
      <w:r>
        <w:t>р. Учасниками системи гарантування вклад</w:t>
      </w:r>
      <w:r>
        <w:t>ів обов’язково є комерційні банки та інші фінансові установи. Обов’язком для них є щорічні членські внески, які прогнозує фонд на наступний рік, згідно із складенням свого бюджету, вони розподіляються згідно об’єктів страхування; на 2015/16 він оголосив об</w:t>
      </w:r>
      <w:r>
        <w:t>ов’язковий внесок у розмірі 319 млн. фунтів стерлінгів, з яких страхування депозитів у фінансових установах займає лише 13 млн. [10].</w:t>
      </w:r>
    </w:p>
    <w:p w:rsidR="00613F37" w:rsidRDefault="001C38A0">
      <w:pPr>
        <w:pStyle w:val="a5"/>
        <w:framePr w:w="9941" w:h="13027" w:hRule="exact" w:wrap="around" w:vAnchor="page" w:hAnchor="page" w:x="1040" w:y="1226"/>
        <w:shd w:val="clear" w:color="auto" w:fill="auto"/>
        <w:spacing w:after="0"/>
        <w:ind w:left="20" w:right="20" w:firstLine="560"/>
        <w:jc w:val="both"/>
      </w:pPr>
      <w:r>
        <w:t xml:space="preserve">Метою компенсаційного фінансового фонду </w:t>
      </w:r>
      <w:r w:rsidRPr="00045E84">
        <w:rPr>
          <w:lang w:eastAsia="en-US" w:bidi="en-US"/>
        </w:rPr>
        <w:t>(</w:t>
      </w:r>
      <w:r>
        <w:rPr>
          <w:lang w:val="en-US" w:eastAsia="en-US" w:bidi="en-US"/>
        </w:rPr>
        <w:t>Financial</w:t>
      </w:r>
      <w:r w:rsidRPr="00045E84">
        <w:rPr>
          <w:lang w:eastAsia="en-US" w:bidi="en-US"/>
        </w:rPr>
        <w:t xml:space="preserve"> </w:t>
      </w:r>
      <w:r>
        <w:rPr>
          <w:lang w:val="en-US" w:eastAsia="en-US" w:bidi="en-US"/>
        </w:rPr>
        <w:t>Services</w:t>
      </w:r>
      <w:r w:rsidRPr="00045E84">
        <w:rPr>
          <w:lang w:eastAsia="en-US" w:bidi="en-US"/>
        </w:rPr>
        <w:t xml:space="preserve"> </w:t>
      </w:r>
      <w:r>
        <w:rPr>
          <w:lang w:val="en-US" w:eastAsia="en-US" w:bidi="en-US"/>
        </w:rPr>
        <w:t>Compensation</w:t>
      </w:r>
      <w:r w:rsidRPr="00045E84">
        <w:rPr>
          <w:lang w:eastAsia="en-US" w:bidi="en-US"/>
        </w:rPr>
        <w:t xml:space="preserve"> </w:t>
      </w:r>
      <w:r>
        <w:rPr>
          <w:lang w:val="en-US" w:eastAsia="en-US" w:bidi="en-US"/>
        </w:rPr>
        <w:t>Scheme</w:t>
      </w:r>
      <w:r w:rsidRPr="00045E84">
        <w:rPr>
          <w:lang w:eastAsia="en-US" w:bidi="en-US"/>
        </w:rPr>
        <w:t xml:space="preserve"> </w:t>
      </w:r>
      <w:r>
        <w:t xml:space="preserve">- </w:t>
      </w:r>
      <w:r>
        <w:rPr>
          <w:lang w:val="en-US" w:eastAsia="en-US" w:bidi="en-US"/>
        </w:rPr>
        <w:t>FSCS</w:t>
      </w:r>
      <w:r w:rsidRPr="00045E84">
        <w:rPr>
          <w:lang w:eastAsia="en-US" w:bidi="en-US"/>
        </w:rPr>
        <w:t xml:space="preserve">) </w:t>
      </w:r>
      <w:r>
        <w:t>є гарантування коштів населення, г</w:t>
      </w:r>
      <w:r>
        <w:t xml:space="preserve">отовність швидко та ефективно відреагувати на банкрутства фінансових установ; підвищувати знання та навики працівників фонду. </w:t>
      </w:r>
      <w:r>
        <w:rPr>
          <w:lang w:val="en-US" w:eastAsia="en-US" w:bidi="en-US"/>
        </w:rPr>
        <w:t>FSCS</w:t>
      </w:r>
      <w:r w:rsidRPr="00045E84">
        <w:rPr>
          <w:lang w:val="ru-RU" w:eastAsia="en-US" w:bidi="en-US"/>
        </w:rPr>
        <w:t xml:space="preserve"> </w:t>
      </w:r>
      <w:r>
        <w:t xml:space="preserve">є державною юридичною установою та перебуває під контролем Банку Англії. Упродовж </w:t>
      </w:r>
      <w:r w:rsidRPr="00045E84">
        <w:rPr>
          <w:lang w:val="ru-RU" w:eastAsia="en-US" w:bidi="en-US"/>
        </w:rPr>
        <w:t xml:space="preserve">2014/15 </w:t>
      </w:r>
      <w:r>
        <w:t>було відшкодовано вкладів на суму 4</w:t>
      </w:r>
      <w:r>
        <w:t>,1 млн. фунтів стерлінгів та отримано 1,076 млрд. членських внесків [8].</w:t>
      </w:r>
    </w:p>
    <w:p w:rsidR="00613F37" w:rsidRDefault="001C38A0">
      <w:pPr>
        <w:pStyle w:val="a5"/>
        <w:framePr w:w="9941" w:h="13027" w:hRule="exact" w:wrap="around" w:vAnchor="page" w:hAnchor="page" w:x="1040" w:y="1226"/>
        <w:shd w:val="clear" w:color="auto" w:fill="auto"/>
        <w:spacing w:after="0"/>
        <w:ind w:left="20" w:right="20" w:firstLine="560"/>
        <w:jc w:val="both"/>
      </w:pPr>
      <w:r>
        <w:t>Доцільно подати узагальнення ознак правового функціонування системи гарантування вкладів у країнах ЄС та України, яку зображено у табл. 1.</w:t>
      </w:r>
    </w:p>
    <w:p w:rsidR="00613F37" w:rsidRDefault="001C38A0">
      <w:pPr>
        <w:pStyle w:val="a5"/>
        <w:framePr w:w="9941" w:h="13027" w:hRule="exact" w:wrap="around" w:vAnchor="page" w:hAnchor="page" w:x="1040" w:y="1226"/>
        <w:shd w:val="clear" w:color="auto" w:fill="auto"/>
        <w:spacing w:after="0"/>
        <w:ind w:left="20" w:right="20" w:firstLine="560"/>
        <w:jc w:val="both"/>
      </w:pPr>
      <w:r>
        <w:t>Слід зазначити, що існують також загальнопри</w:t>
      </w:r>
      <w:r>
        <w:t>йняті принципи ефективної ССД, котрі розроблені та були прийняті у листопаді 2014 року Базельським комітетом з питань банківського нагляду та МАСД. Дані принципи направлені на зменшення морального ризику та якісної оцінки середовища (макроекономічних умов,</w:t>
      </w:r>
      <w:r>
        <w:t xml:space="preserve"> пруденційного регулювання, правової і судової системи). Ключові принципи і їх виконання в Україні подано у табл. 2.</w:t>
      </w:r>
    </w:p>
    <w:p w:rsidR="00613F37" w:rsidRDefault="001C38A0">
      <w:pPr>
        <w:pStyle w:val="a7"/>
        <w:framePr w:wrap="around" w:vAnchor="page" w:hAnchor="page" w:x="1021" w:y="15701"/>
        <w:shd w:val="clear" w:color="auto" w:fill="auto"/>
        <w:spacing w:line="180" w:lineRule="exact"/>
        <w:ind w:left="20"/>
      </w:pPr>
      <w:r>
        <w:t>42</w:t>
      </w:r>
    </w:p>
    <w:p w:rsidR="00613F37" w:rsidRDefault="00613F37">
      <w:pPr>
        <w:rPr>
          <w:sz w:val="2"/>
          <w:szCs w:val="2"/>
        </w:rPr>
        <w:sectPr w:rsidR="00613F37">
          <w:pgSz w:w="11909" w:h="16838"/>
          <w:pgMar w:top="0" w:right="0" w:bottom="0" w:left="0" w:header="0" w:footer="3" w:gutter="0"/>
          <w:cols w:space="720"/>
          <w:noEndnote/>
          <w:docGrid w:linePitch="360"/>
        </w:sectPr>
      </w:pPr>
    </w:p>
    <w:p w:rsidR="00613F37" w:rsidRDefault="001C38A0">
      <w:pPr>
        <w:pStyle w:val="a9"/>
        <w:framePr w:w="8078" w:h="1024" w:hRule="exact" w:wrap="around" w:vAnchor="page" w:hAnchor="page" w:x="2843" w:y="1141"/>
        <w:shd w:val="clear" w:color="auto" w:fill="auto"/>
      </w:pPr>
      <w:r>
        <w:lastRenderedPageBreak/>
        <w:t>Таблиця 1</w:t>
      </w:r>
    </w:p>
    <w:p w:rsidR="00613F37" w:rsidRDefault="001C38A0">
      <w:pPr>
        <w:pStyle w:val="a9"/>
        <w:framePr w:w="8078" w:h="1024" w:hRule="exact" w:wrap="around" w:vAnchor="page" w:hAnchor="page" w:x="2843" w:y="1141"/>
        <w:shd w:val="clear" w:color="auto" w:fill="auto"/>
        <w:tabs>
          <w:tab w:val="right" w:leader="underscore" w:pos="1839"/>
          <w:tab w:val="right" w:pos="2050"/>
          <w:tab w:val="right" w:pos="3097"/>
          <w:tab w:val="right" w:pos="3543"/>
          <w:tab w:val="right" w:pos="3898"/>
          <w:tab w:val="left" w:pos="3980"/>
          <w:tab w:val="left" w:leader="underscore" w:pos="8098"/>
        </w:tabs>
        <w:ind w:left="20"/>
        <w:jc w:val="left"/>
      </w:pPr>
      <w:r>
        <w:t xml:space="preserve">Порівняльна характеристика законодавства про </w:t>
      </w:r>
      <w:r>
        <w:tab/>
      </w:r>
      <w:r>
        <w:rPr>
          <w:rStyle w:val="aa"/>
          <w:b/>
          <w:bCs/>
        </w:rPr>
        <w:t>ССД</w:t>
      </w:r>
      <w:r>
        <w:rPr>
          <w:rStyle w:val="aa"/>
          <w:b/>
          <w:bCs/>
        </w:rPr>
        <w:tab/>
        <w:t>у</w:t>
      </w:r>
      <w:r>
        <w:rPr>
          <w:rStyle w:val="aa"/>
          <w:b/>
          <w:bCs/>
        </w:rPr>
        <w:tab/>
        <w:t>країнах</w:t>
      </w:r>
      <w:r>
        <w:rPr>
          <w:rStyle w:val="aa"/>
          <w:b/>
          <w:bCs/>
        </w:rPr>
        <w:tab/>
        <w:t>ЄС</w:t>
      </w:r>
      <w:r>
        <w:rPr>
          <w:rStyle w:val="aa"/>
          <w:b/>
          <w:bCs/>
        </w:rPr>
        <w:tab/>
        <w:t>та</w:t>
      </w:r>
      <w:r>
        <w:rPr>
          <w:rStyle w:val="aa"/>
          <w:b/>
          <w:bCs/>
        </w:rPr>
        <w:tab/>
        <w:t>України</w:t>
      </w:r>
      <w:r>
        <w:tab/>
      </w:r>
    </w:p>
    <w:tbl>
      <w:tblPr>
        <w:tblOverlap w:val="never"/>
        <w:tblW w:w="0" w:type="auto"/>
        <w:tblLayout w:type="fixed"/>
        <w:tblCellMar>
          <w:left w:w="10" w:type="dxa"/>
          <w:right w:w="10" w:type="dxa"/>
        </w:tblCellMar>
        <w:tblLook w:val="04A0"/>
      </w:tblPr>
      <w:tblGrid>
        <w:gridCol w:w="2093"/>
        <w:gridCol w:w="3864"/>
        <w:gridCol w:w="3864"/>
      </w:tblGrid>
      <w:tr w:rsidR="00613F37">
        <w:tblPrEx>
          <w:tblCellMar>
            <w:top w:w="0" w:type="dxa"/>
            <w:bottom w:w="0" w:type="dxa"/>
          </w:tblCellMar>
        </w:tblPrEx>
        <w:trPr>
          <w:trHeight w:hRule="exact" w:val="509"/>
        </w:trPr>
        <w:tc>
          <w:tcPr>
            <w:tcW w:w="2093" w:type="dxa"/>
            <w:tcBorders>
              <w:top w:val="single" w:sz="4" w:space="0" w:color="auto"/>
              <w:left w:val="single" w:sz="4" w:space="0" w:color="auto"/>
            </w:tcBorders>
            <w:shd w:val="clear" w:color="auto" w:fill="FFFFFF"/>
            <w:vAlign w:val="center"/>
          </w:tcPr>
          <w:p w:rsidR="00613F37" w:rsidRDefault="001C38A0">
            <w:pPr>
              <w:pStyle w:val="a5"/>
              <w:framePr w:w="9821" w:h="6470" w:wrap="around" w:vAnchor="page" w:hAnchor="page" w:x="1100" w:y="2141"/>
              <w:shd w:val="clear" w:color="auto" w:fill="auto"/>
              <w:spacing w:after="0" w:line="180" w:lineRule="exact"/>
            </w:pPr>
            <w:r>
              <w:rPr>
                <w:rStyle w:val="9pt0pt"/>
              </w:rPr>
              <w:t>Ознаки</w:t>
            </w:r>
          </w:p>
        </w:tc>
        <w:tc>
          <w:tcPr>
            <w:tcW w:w="3864" w:type="dxa"/>
            <w:tcBorders>
              <w:top w:val="single" w:sz="4" w:space="0" w:color="auto"/>
              <w:left w:val="single" w:sz="4" w:space="0" w:color="auto"/>
            </w:tcBorders>
            <w:shd w:val="clear" w:color="auto" w:fill="FFFFFF"/>
            <w:vAlign w:val="center"/>
          </w:tcPr>
          <w:p w:rsidR="00613F37" w:rsidRDefault="001C38A0">
            <w:pPr>
              <w:pStyle w:val="a5"/>
              <w:framePr w:w="9821" w:h="6470" w:wrap="around" w:vAnchor="page" w:hAnchor="page" w:x="1100" w:y="2141"/>
              <w:shd w:val="clear" w:color="auto" w:fill="auto"/>
              <w:spacing w:after="0" w:line="180" w:lineRule="exact"/>
            </w:pPr>
            <w:r>
              <w:rPr>
                <w:rStyle w:val="9pt0pt"/>
              </w:rPr>
              <w:t>Країни-члени ЄС</w:t>
            </w:r>
          </w:p>
        </w:tc>
        <w:tc>
          <w:tcPr>
            <w:tcW w:w="3864" w:type="dxa"/>
            <w:tcBorders>
              <w:top w:val="single" w:sz="4" w:space="0" w:color="auto"/>
              <w:left w:val="single" w:sz="4" w:space="0" w:color="auto"/>
              <w:right w:val="single" w:sz="4" w:space="0" w:color="auto"/>
            </w:tcBorders>
            <w:shd w:val="clear" w:color="auto" w:fill="FFFFFF"/>
            <w:vAlign w:val="center"/>
          </w:tcPr>
          <w:p w:rsidR="00613F37" w:rsidRDefault="001C38A0">
            <w:pPr>
              <w:pStyle w:val="a5"/>
              <w:framePr w:w="9821" w:h="6470" w:wrap="around" w:vAnchor="page" w:hAnchor="page" w:x="1100" w:y="2141"/>
              <w:shd w:val="clear" w:color="auto" w:fill="auto"/>
              <w:spacing w:after="0" w:line="180" w:lineRule="exact"/>
            </w:pPr>
            <w:r>
              <w:rPr>
                <w:rStyle w:val="9pt0pt"/>
              </w:rPr>
              <w:t>Україна</w:t>
            </w:r>
          </w:p>
        </w:tc>
      </w:tr>
      <w:tr w:rsidR="00613F37">
        <w:tblPrEx>
          <w:tblCellMar>
            <w:top w:w="0" w:type="dxa"/>
            <w:bottom w:w="0" w:type="dxa"/>
          </w:tblCellMar>
        </w:tblPrEx>
        <w:trPr>
          <w:trHeight w:hRule="exact" w:val="470"/>
        </w:trPr>
        <w:tc>
          <w:tcPr>
            <w:tcW w:w="2093" w:type="dxa"/>
            <w:tcBorders>
              <w:top w:val="single" w:sz="4" w:space="0" w:color="auto"/>
              <w:left w:val="single" w:sz="4" w:space="0" w:color="auto"/>
            </w:tcBorders>
            <w:shd w:val="clear" w:color="auto" w:fill="FFFFFF"/>
            <w:vAlign w:val="center"/>
          </w:tcPr>
          <w:p w:rsidR="00613F37" w:rsidRDefault="001C38A0">
            <w:pPr>
              <w:pStyle w:val="a5"/>
              <w:framePr w:w="9821" w:h="6470" w:wrap="around" w:vAnchor="page" w:hAnchor="page" w:x="1100" w:y="2141"/>
              <w:shd w:val="clear" w:color="auto" w:fill="auto"/>
              <w:spacing w:after="0" w:line="180" w:lineRule="exact"/>
              <w:ind w:left="120"/>
              <w:jc w:val="left"/>
            </w:pPr>
            <w:r>
              <w:rPr>
                <w:rStyle w:val="9pt0pt"/>
              </w:rPr>
              <w:t>Законодавча база</w:t>
            </w:r>
          </w:p>
        </w:tc>
        <w:tc>
          <w:tcPr>
            <w:tcW w:w="3864" w:type="dxa"/>
            <w:tcBorders>
              <w:top w:val="single" w:sz="4" w:space="0" w:color="auto"/>
              <w:left w:val="single" w:sz="4" w:space="0" w:color="auto"/>
            </w:tcBorders>
            <w:shd w:val="clear" w:color="auto" w:fill="FFFFFF"/>
            <w:vAlign w:val="bottom"/>
          </w:tcPr>
          <w:p w:rsidR="00613F37" w:rsidRDefault="001C38A0">
            <w:pPr>
              <w:pStyle w:val="a5"/>
              <w:framePr w:w="9821" w:h="6470" w:wrap="around" w:vAnchor="page" w:hAnchor="page" w:x="1100" w:y="2141"/>
              <w:shd w:val="clear" w:color="auto" w:fill="auto"/>
              <w:spacing w:after="0" w:line="230" w:lineRule="exact"/>
              <w:ind w:left="120"/>
              <w:jc w:val="left"/>
            </w:pPr>
            <w:r>
              <w:rPr>
                <w:rStyle w:val="9pt0pt"/>
              </w:rPr>
              <w:t>Директива 2014/49/ЄС від 16.04.2014 р. [7]</w:t>
            </w:r>
          </w:p>
        </w:tc>
        <w:tc>
          <w:tcPr>
            <w:tcW w:w="3864" w:type="dxa"/>
            <w:tcBorders>
              <w:top w:val="single" w:sz="4" w:space="0" w:color="auto"/>
              <w:left w:val="single" w:sz="4" w:space="0" w:color="auto"/>
              <w:right w:val="single" w:sz="4" w:space="0" w:color="auto"/>
            </w:tcBorders>
            <w:shd w:val="clear" w:color="auto" w:fill="FFFFFF"/>
            <w:vAlign w:val="bottom"/>
          </w:tcPr>
          <w:p w:rsidR="00613F37" w:rsidRDefault="001C38A0">
            <w:pPr>
              <w:pStyle w:val="a5"/>
              <w:framePr w:w="9821" w:h="6470" w:wrap="around" w:vAnchor="page" w:hAnchor="page" w:x="1100" w:y="2141"/>
              <w:shd w:val="clear" w:color="auto" w:fill="auto"/>
              <w:spacing w:after="0" w:line="230" w:lineRule="exact"/>
              <w:ind w:left="120"/>
              <w:jc w:val="left"/>
            </w:pPr>
            <w:r>
              <w:rPr>
                <w:rStyle w:val="9pt0pt"/>
              </w:rPr>
              <w:t>ЗУ «Про систему гарантування вкладів фізичних осіб» від 2012 року [1]</w:t>
            </w:r>
          </w:p>
        </w:tc>
      </w:tr>
      <w:tr w:rsidR="00613F37">
        <w:tblPrEx>
          <w:tblCellMar>
            <w:top w:w="0" w:type="dxa"/>
            <w:bottom w:w="0" w:type="dxa"/>
          </w:tblCellMar>
        </w:tblPrEx>
        <w:trPr>
          <w:trHeight w:hRule="exact" w:val="499"/>
        </w:trPr>
        <w:tc>
          <w:tcPr>
            <w:tcW w:w="2093" w:type="dxa"/>
            <w:tcBorders>
              <w:top w:val="single" w:sz="4" w:space="0" w:color="auto"/>
              <w:left w:val="single" w:sz="4" w:space="0" w:color="auto"/>
            </w:tcBorders>
            <w:shd w:val="clear" w:color="auto" w:fill="FFFFFF"/>
            <w:vAlign w:val="bottom"/>
          </w:tcPr>
          <w:p w:rsidR="00613F37" w:rsidRDefault="001C38A0">
            <w:pPr>
              <w:pStyle w:val="a5"/>
              <w:framePr w:w="9821" w:h="6470" w:wrap="around" w:vAnchor="page" w:hAnchor="page" w:x="1100" w:y="2141"/>
              <w:shd w:val="clear" w:color="auto" w:fill="auto"/>
              <w:spacing w:after="0" w:line="235" w:lineRule="exact"/>
              <w:ind w:left="120"/>
              <w:jc w:val="left"/>
            </w:pPr>
            <w:r>
              <w:rPr>
                <w:rStyle w:val="9pt0pt"/>
              </w:rPr>
              <w:t>Правовий статус фонду</w:t>
            </w:r>
          </w:p>
        </w:tc>
        <w:tc>
          <w:tcPr>
            <w:tcW w:w="3864" w:type="dxa"/>
            <w:tcBorders>
              <w:top w:val="single" w:sz="4" w:space="0" w:color="auto"/>
              <w:left w:val="single" w:sz="4" w:space="0" w:color="auto"/>
            </w:tcBorders>
            <w:shd w:val="clear" w:color="auto" w:fill="FFFFFF"/>
            <w:vAlign w:val="bottom"/>
          </w:tcPr>
          <w:p w:rsidR="00613F37" w:rsidRDefault="001C38A0">
            <w:pPr>
              <w:pStyle w:val="a5"/>
              <w:framePr w:w="9821" w:h="6470" w:wrap="around" w:vAnchor="page" w:hAnchor="page" w:x="1100" w:y="2141"/>
              <w:shd w:val="clear" w:color="auto" w:fill="auto"/>
              <w:spacing w:after="0" w:line="235" w:lineRule="exact"/>
              <w:ind w:left="120"/>
              <w:jc w:val="left"/>
            </w:pPr>
            <w:r>
              <w:rPr>
                <w:rStyle w:val="9pt0pt"/>
              </w:rPr>
              <w:t>Може бути як державна так і приватна установа</w:t>
            </w:r>
          </w:p>
        </w:tc>
        <w:tc>
          <w:tcPr>
            <w:tcW w:w="3864" w:type="dxa"/>
            <w:tcBorders>
              <w:top w:val="single" w:sz="4" w:space="0" w:color="auto"/>
              <w:left w:val="single" w:sz="4" w:space="0" w:color="auto"/>
              <w:right w:val="single" w:sz="4" w:space="0" w:color="auto"/>
            </w:tcBorders>
            <w:shd w:val="clear" w:color="auto" w:fill="FFFFFF"/>
            <w:vAlign w:val="center"/>
          </w:tcPr>
          <w:p w:rsidR="00613F37" w:rsidRDefault="001C38A0">
            <w:pPr>
              <w:pStyle w:val="a5"/>
              <w:framePr w:w="9821" w:h="6470" w:wrap="around" w:vAnchor="page" w:hAnchor="page" w:x="1100" w:y="2141"/>
              <w:shd w:val="clear" w:color="auto" w:fill="auto"/>
              <w:spacing w:after="0" w:line="180" w:lineRule="exact"/>
              <w:ind w:left="120"/>
              <w:jc w:val="left"/>
            </w:pPr>
            <w:r>
              <w:rPr>
                <w:rStyle w:val="9pt0pt"/>
              </w:rPr>
              <w:t>Державна юридична особа</w:t>
            </w:r>
          </w:p>
        </w:tc>
      </w:tr>
      <w:tr w:rsidR="00613F37">
        <w:tblPrEx>
          <w:tblCellMar>
            <w:top w:w="0" w:type="dxa"/>
            <w:bottom w:w="0" w:type="dxa"/>
          </w:tblCellMar>
        </w:tblPrEx>
        <w:trPr>
          <w:trHeight w:hRule="exact" w:val="931"/>
        </w:trPr>
        <w:tc>
          <w:tcPr>
            <w:tcW w:w="2093" w:type="dxa"/>
            <w:tcBorders>
              <w:top w:val="single" w:sz="4" w:space="0" w:color="auto"/>
              <w:left w:val="single" w:sz="4" w:space="0" w:color="auto"/>
            </w:tcBorders>
            <w:shd w:val="clear" w:color="auto" w:fill="FFFFFF"/>
            <w:vAlign w:val="center"/>
          </w:tcPr>
          <w:p w:rsidR="00613F37" w:rsidRDefault="001C38A0">
            <w:pPr>
              <w:pStyle w:val="a5"/>
              <w:framePr w:w="9821" w:h="6470" w:wrap="around" w:vAnchor="page" w:hAnchor="page" w:x="1100" w:y="2141"/>
              <w:shd w:val="clear" w:color="auto" w:fill="auto"/>
              <w:spacing w:after="0" w:line="235" w:lineRule="exact"/>
              <w:ind w:left="120"/>
              <w:jc w:val="left"/>
            </w:pPr>
            <w:r>
              <w:rPr>
                <w:rStyle w:val="9pt0pt"/>
              </w:rPr>
              <w:t xml:space="preserve">Джерела фінансування </w:t>
            </w:r>
            <w:r>
              <w:rPr>
                <w:rStyle w:val="9pt0pt"/>
              </w:rPr>
              <w:t>створеного фонду</w:t>
            </w:r>
          </w:p>
        </w:tc>
        <w:tc>
          <w:tcPr>
            <w:tcW w:w="3864" w:type="dxa"/>
            <w:tcBorders>
              <w:top w:val="single" w:sz="4" w:space="0" w:color="auto"/>
              <w:left w:val="single" w:sz="4" w:space="0" w:color="auto"/>
            </w:tcBorders>
            <w:shd w:val="clear" w:color="auto" w:fill="FFFFFF"/>
            <w:vAlign w:val="bottom"/>
          </w:tcPr>
          <w:p w:rsidR="00613F37" w:rsidRDefault="001C38A0">
            <w:pPr>
              <w:pStyle w:val="a5"/>
              <w:framePr w:w="9821" w:h="6470" w:wrap="around" w:vAnchor="page" w:hAnchor="page" w:x="1100" w:y="2141"/>
              <w:shd w:val="clear" w:color="auto" w:fill="auto"/>
              <w:spacing w:after="0" w:line="230" w:lineRule="exact"/>
              <w:ind w:left="120"/>
              <w:jc w:val="left"/>
            </w:pPr>
            <w:r>
              <w:rPr>
                <w:rStyle w:val="9pt0pt"/>
              </w:rPr>
              <w:t xml:space="preserve">Диференційовані авансові платежі, які залежать від рівня ризиковості </w:t>
            </w:r>
            <w:r w:rsidRPr="00045E84">
              <w:rPr>
                <w:rStyle w:val="9pt0pt"/>
                <w:lang w:eastAsia="en-US" w:bidi="en-US"/>
              </w:rPr>
              <w:t>(</w:t>
            </w:r>
            <w:r>
              <w:rPr>
                <w:rStyle w:val="9pt0pt"/>
                <w:lang w:val="en-US" w:eastAsia="en-US" w:bidi="en-US"/>
              </w:rPr>
              <w:t>risk</w:t>
            </w:r>
            <w:r w:rsidRPr="00045E84">
              <w:rPr>
                <w:rStyle w:val="9pt0pt"/>
                <w:lang w:eastAsia="en-US" w:bidi="en-US"/>
              </w:rPr>
              <w:t xml:space="preserve"> </w:t>
            </w:r>
            <w:r>
              <w:rPr>
                <w:rStyle w:val="9pt0pt"/>
                <w:lang w:val="en-US" w:eastAsia="en-US" w:bidi="en-US"/>
              </w:rPr>
              <w:t>based</w:t>
            </w:r>
            <w:r w:rsidRPr="00045E84">
              <w:rPr>
                <w:rStyle w:val="9pt0pt"/>
                <w:lang w:eastAsia="en-US" w:bidi="en-US"/>
              </w:rPr>
              <w:t xml:space="preserve"> </w:t>
            </w:r>
            <w:r>
              <w:rPr>
                <w:rStyle w:val="9pt0pt"/>
                <w:lang w:val="en-US" w:eastAsia="en-US" w:bidi="en-US"/>
              </w:rPr>
              <w:t>funding</w:t>
            </w:r>
            <w:r w:rsidRPr="00045E84">
              <w:rPr>
                <w:rStyle w:val="9pt0pt"/>
                <w:lang w:eastAsia="en-US" w:bidi="en-US"/>
              </w:rPr>
              <w:t xml:space="preserve">) </w:t>
            </w:r>
            <w:r>
              <w:rPr>
                <w:rStyle w:val="9pt0pt"/>
              </w:rPr>
              <w:t>установи</w:t>
            </w:r>
          </w:p>
        </w:tc>
        <w:tc>
          <w:tcPr>
            <w:tcW w:w="3864" w:type="dxa"/>
            <w:tcBorders>
              <w:top w:val="single" w:sz="4" w:space="0" w:color="auto"/>
              <w:left w:val="single" w:sz="4" w:space="0" w:color="auto"/>
              <w:right w:val="single" w:sz="4" w:space="0" w:color="auto"/>
            </w:tcBorders>
            <w:shd w:val="clear" w:color="auto" w:fill="FFFFFF"/>
          </w:tcPr>
          <w:p w:rsidR="00613F37" w:rsidRDefault="001C38A0">
            <w:pPr>
              <w:pStyle w:val="a5"/>
              <w:framePr w:w="9821" w:h="6470" w:wrap="around" w:vAnchor="page" w:hAnchor="page" w:x="1100" w:y="2141"/>
              <w:shd w:val="clear" w:color="auto" w:fill="auto"/>
              <w:spacing w:after="0" w:line="230" w:lineRule="exact"/>
              <w:ind w:left="120"/>
              <w:jc w:val="left"/>
            </w:pPr>
            <w:r>
              <w:rPr>
                <w:rStyle w:val="9pt0pt"/>
              </w:rPr>
              <w:t xml:space="preserve">Квартальні авансові платежі </w:t>
            </w:r>
            <w:r w:rsidRPr="00045E84">
              <w:rPr>
                <w:rStyle w:val="9pt0pt"/>
                <w:lang w:eastAsia="en-US" w:bidi="en-US"/>
              </w:rPr>
              <w:t>(</w:t>
            </w:r>
            <w:r>
              <w:rPr>
                <w:rStyle w:val="9pt0pt"/>
                <w:lang w:val="en-US" w:eastAsia="en-US" w:bidi="en-US"/>
              </w:rPr>
              <w:t>ex</w:t>
            </w:r>
            <w:r w:rsidRPr="00045E84">
              <w:rPr>
                <w:rStyle w:val="9pt0pt"/>
                <w:lang w:eastAsia="en-US" w:bidi="en-US"/>
              </w:rPr>
              <w:t>-</w:t>
            </w:r>
            <w:r>
              <w:rPr>
                <w:rStyle w:val="9pt0pt"/>
                <w:lang w:val="en-US" w:eastAsia="en-US" w:bidi="en-US"/>
              </w:rPr>
              <w:t>ante</w:t>
            </w:r>
            <w:r w:rsidRPr="00045E84">
              <w:rPr>
                <w:rStyle w:val="9pt0pt"/>
                <w:lang w:eastAsia="en-US" w:bidi="en-US"/>
              </w:rPr>
              <w:t xml:space="preserve"> </w:t>
            </w:r>
            <w:r>
              <w:rPr>
                <w:rStyle w:val="9pt0pt"/>
              </w:rPr>
              <w:t>фінансування), від бази нарахування - 0,5 % у національній валюті; 0,8 % від у іноземній валюті</w:t>
            </w:r>
          </w:p>
        </w:tc>
      </w:tr>
      <w:tr w:rsidR="00613F37">
        <w:tblPrEx>
          <w:tblCellMar>
            <w:top w:w="0" w:type="dxa"/>
            <w:bottom w:w="0" w:type="dxa"/>
          </w:tblCellMar>
        </w:tblPrEx>
        <w:trPr>
          <w:trHeight w:hRule="exact" w:val="797"/>
        </w:trPr>
        <w:tc>
          <w:tcPr>
            <w:tcW w:w="2093" w:type="dxa"/>
            <w:tcBorders>
              <w:top w:val="single" w:sz="4" w:space="0" w:color="auto"/>
              <w:left w:val="single" w:sz="4" w:space="0" w:color="auto"/>
            </w:tcBorders>
            <w:shd w:val="clear" w:color="auto" w:fill="FFFFFF"/>
            <w:vAlign w:val="center"/>
          </w:tcPr>
          <w:p w:rsidR="00613F37" w:rsidRDefault="001C38A0">
            <w:pPr>
              <w:pStyle w:val="a5"/>
              <w:framePr w:w="9821" w:h="6470" w:wrap="around" w:vAnchor="page" w:hAnchor="page" w:x="1100" w:y="2141"/>
              <w:shd w:val="clear" w:color="auto" w:fill="auto"/>
              <w:spacing w:after="0" w:line="180" w:lineRule="exact"/>
              <w:ind w:left="120"/>
              <w:jc w:val="left"/>
            </w:pPr>
            <w:r>
              <w:rPr>
                <w:rStyle w:val="9pt0pt"/>
              </w:rPr>
              <w:t>Об’єкт</w:t>
            </w:r>
            <w:r>
              <w:rPr>
                <w:rStyle w:val="9pt0pt"/>
              </w:rPr>
              <w:t xml:space="preserve"> захисту</w:t>
            </w:r>
          </w:p>
        </w:tc>
        <w:tc>
          <w:tcPr>
            <w:tcW w:w="3864" w:type="dxa"/>
            <w:tcBorders>
              <w:top w:val="single" w:sz="4" w:space="0" w:color="auto"/>
              <w:left w:val="single" w:sz="4" w:space="0" w:color="auto"/>
            </w:tcBorders>
            <w:shd w:val="clear" w:color="auto" w:fill="FFFFFF"/>
            <w:vAlign w:val="center"/>
          </w:tcPr>
          <w:p w:rsidR="00613F37" w:rsidRDefault="001C38A0">
            <w:pPr>
              <w:pStyle w:val="a5"/>
              <w:framePr w:w="9821" w:h="6470" w:wrap="around" w:vAnchor="page" w:hAnchor="page" w:x="1100" w:y="2141"/>
              <w:shd w:val="clear" w:color="auto" w:fill="auto"/>
              <w:spacing w:after="0" w:line="235" w:lineRule="exact"/>
              <w:ind w:left="120"/>
              <w:jc w:val="left"/>
            </w:pPr>
            <w:r>
              <w:rPr>
                <w:rStyle w:val="9pt0pt"/>
              </w:rPr>
              <w:t>Усі депозити фізичних та юридичних осіб (окрім деяких випадків)</w:t>
            </w:r>
          </w:p>
        </w:tc>
        <w:tc>
          <w:tcPr>
            <w:tcW w:w="3864" w:type="dxa"/>
            <w:tcBorders>
              <w:top w:val="single" w:sz="4" w:space="0" w:color="auto"/>
              <w:left w:val="single" w:sz="4" w:space="0" w:color="auto"/>
              <w:right w:val="single" w:sz="4" w:space="0" w:color="auto"/>
            </w:tcBorders>
            <w:shd w:val="clear" w:color="auto" w:fill="FFFFFF"/>
            <w:vAlign w:val="center"/>
          </w:tcPr>
          <w:p w:rsidR="00613F37" w:rsidRDefault="001C38A0">
            <w:pPr>
              <w:pStyle w:val="a5"/>
              <w:framePr w:w="9821" w:h="6470" w:wrap="around" w:vAnchor="page" w:hAnchor="page" w:x="1100" w:y="2141"/>
              <w:shd w:val="clear" w:color="auto" w:fill="auto"/>
              <w:spacing w:after="0" w:line="180" w:lineRule="exact"/>
              <w:ind w:left="120"/>
              <w:jc w:val="left"/>
            </w:pPr>
            <w:r>
              <w:rPr>
                <w:rStyle w:val="9pt0pt"/>
              </w:rPr>
              <w:t>Лише депозити фізичних осіб</w:t>
            </w:r>
          </w:p>
        </w:tc>
      </w:tr>
      <w:tr w:rsidR="00613F37">
        <w:tblPrEx>
          <w:tblCellMar>
            <w:top w:w="0" w:type="dxa"/>
            <w:bottom w:w="0" w:type="dxa"/>
          </w:tblCellMar>
        </w:tblPrEx>
        <w:trPr>
          <w:trHeight w:hRule="exact" w:val="1162"/>
        </w:trPr>
        <w:tc>
          <w:tcPr>
            <w:tcW w:w="2093" w:type="dxa"/>
            <w:tcBorders>
              <w:top w:val="single" w:sz="4" w:space="0" w:color="auto"/>
              <w:left w:val="single" w:sz="4" w:space="0" w:color="auto"/>
            </w:tcBorders>
            <w:shd w:val="clear" w:color="auto" w:fill="FFFFFF"/>
            <w:vAlign w:val="center"/>
          </w:tcPr>
          <w:p w:rsidR="00613F37" w:rsidRDefault="001C38A0">
            <w:pPr>
              <w:pStyle w:val="a5"/>
              <w:framePr w:w="9821" w:h="6470" w:wrap="around" w:vAnchor="page" w:hAnchor="page" w:x="1100" w:y="2141"/>
              <w:shd w:val="clear" w:color="auto" w:fill="auto"/>
              <w:spacing w:after="0" w:line="226" w:lineRule="exact"/>
              <w:ind w:left="120"/>
              <w:jc w:val="left"/>
            </w:pPr>
            <w:r>
              <w:rPr>
                <w:rStyle w:val="9pt0pt"/>
              </w:rPr>
              <w:t>Обмеження щодо відшкодування</w:t>
            </w:r>
          </w:p>
        </w:tc>
        <w:tc>
          <w:tcPr>
            <w:tcW w:w="3864" w:type="dxa"/>
            <w:tcBorders>
              <w:top w:val="single" w:sz="4" w:space="0" w:color="auto"/>
              <w:left w:val="single" w:sz="4" w:space="0" w:color="auto"/>
            </w:tcBorders>
            <w:shd w:val="clear" w:color="auto" w:fill="FFFFFF"/>
            <w:vAlign w:val="center"/>
          </w:tcPr>
          <w:p w:rsidR="00613F37" w:rsidRDefault="001C38A0">
            <w:pPr>
              <w:pStyle w:val="a5"/>
              <w:framePr w:w="9821" w:h="6470" w:wrap="around" w:vAnchor="page" w:hAnchor="page" w:x="1100" w:y="2141"/>
              <w:shd w:val="clear" w:color="auto" w:fill="auto"/>
              <w:spacing w:after="0" w:line="230" w:lineRule="exact"/>
              <w:ind w:left="120"/>
              <w:jc w:val="left"/>
            </w:pPr>
            <w:r>
              <w:rPr>
                <w:rStyle w:val="9pt0pt"/>
              </w:rPr>
              <w:t>Кошти власного капіталу, боргові цінні папери, векселі, вклади пов'язані із шахрайськими схемами відмиванням грошей, тощо</w:t>
            </w:r>
          </w:p>
        </w:tc>
        <w:tc>
          <w:tcPr>
            <w:tcW w:w="3864" w:type="dxa"/>
            <w:tcBorders>
              <w:top w:val="single" w:sz="4" w:space="0" w:color="auto"/>
              <w:left w:val="single" w:sz="4" w:space="0" w:color="auto"/>
              <w:right w:val="single" w:sz="4" w:space="0" w:color="auto"/>
            </w:tcBorders>
            <w:shd w:val="clear" w:color="auto" w:fill="FFFFFF"/>
            <w:vAlign w:val="bottom"/>
          </w:tcPr>
          <w:p w:rsidR="00613F37" w:rsidRDefault="001C38A0">
            <w:pPr>
              <w:pStyle w:val="a5"/>
              <w:framePr w:w="9821" w:h="6470" w:wrap="around" w:vAnchor="page" w:hAnchor="page" w:x="1100" w:y="2141"/>
              <w:shd w:val="clear" w:color="auto" w:fill="auto"/>
              <w:spacing w:after="0" w:line="230" w:lineRule="exact"/>
              <w:ind w:left="120"/>
              <w:jc w:val="left"/>
            </w:pPr>
            <w:r>
              <w:rPr>
                <w:rStyle w:val="9pt0pt"/>
              </w:rPr>
              <w:t>Пов’язаним із банком особам; за вкладом, підтвердженим ощадним (депозитним) сертифікатом на пред'явника; вкладами у банківських металах, тощо</w:t>
            </w:r>
          </w:p>
        </w:tc>
      </w:tr>
      <w:tr w:rsidR="00613F37">
        <w:tblPrEx>
          <w:tblCellMar>
            <w:top w:w="0" w:type="dxa"/>
            <w:bottom w:w="0" w:type="dxa"/>
          </w:tblCellMar>
        </w:tblPrEx>
        <w:trPr>
          <w:trHeight w:hRule="exact" w:val="696"/>
        </w:trPr>
        <w:tc>
          <w:tcPr>
            <w:tcW w:w="2093" w:type="dxa"/>
            <w:tcBorders>
              <w:top w:val="single" w:sz="4" w:space="0" w:color="auto"/>
              <w:left w:val="single" w:sz="4" w:space="0" w:color="auto"/>
            </w:tcBorders>
            <w:shd w:val="clear" w:color="auto" w:fill="FFFFFF"/>
            <w:vAlign w:val="center"/>
          </w:tcPr>
          <w:p w:rsidR="00613F37" w:rsidRDefault="001C38A0">
            <w:pPr>
              <w:pStyle w:val="a5"/>
              <w:framePr w:w="9821" w:h="6470" w:wrap="around" w:vAnchor="page" w:hAnchor="page" w:x="1100" w:y="2141"/>
              <w:shd w:val="clear" w:color="auto" w:fill="auto"/>
              <w:spacing w:after="0" w:line="180" w:lineRule="exact"/>
              <w:ind w:left="120"/>
              <w:jc w:val="left"/>
            </w:pPr>
            <w:r>
              <w:rPr>
                <w:rStyle w:val="9pt0pt"/>
              </w:rPr>
              <w:t>Учасники</w:t>
            </w:r>
          </w:p>
        </w:tc>
        <w:tc>
          <w:tcPr>
            <w:tcW w:w="3864" w:type="dxa"/>
            <w:tcBorders>
              <w:top w:val="single" w:sz="4" w:space="0" w:color="auto"/>
              <w:left w:val="single" w:sz="4" w:space="0" w:color="auto"/>
            </w:tcBorders>
            <w:shd w:val="clear" w:color="auto" w:fill="FFFFFF"/>
            <w:vAlign w:val="center"/>
          </w:tcPr>
          <w:p w:rsidR="00613F37" w:rsidRDefault="001C38A0">
            <w:pPr>
              <w:pStyle w:val="a5"/>
              <w:framePr w:w="9821" w:h="6470" w:wrap="around" w:vAnchor="page" w:hAnchor="page" w:x="1100" w:y="2141"/>
              <w:shd w:val="clear" w:color="auto" w:fill="auto"/>
              <w:spacing w:after="0" w:line="230" w:lineRule="exact"/>
              <w:ind w:left="120"/>
              <w:jc w:val="left"/>
            </w:pPr>
            <w:r>
              <w:rPr>
                <w:rStyle w:val="9pt0pt"/>
              </w:rPr>
              <w:t>Обов’язкова участь усіх кредитно- фінансових установ</w:t>
            </w:r>
          </w:p>
        </w:tc>
        <w:tc>
          <w:tcPr>
            <w:tcW w:w="3864" w:type="dxa"/>
            <w:tcBorders>
              <w:top w:val="single" w:sz="4" w:space="0" w:color="auto"/>
              <w:left w:val="single" w:sz="4" w:space="0" w:color="auto"/>
              <w:right w:val="single" w:sz="4" w:space="0" w:color="auto"/>
            </w:tcBorders>
            <w:shd w:val="clear" w:color="auto" w:fill="FFFFFF"/>
            <w:vAlign w:val="center"/>
          </w:tcPr>
          <w:p w:rsidR="00613F37" w:rsidRDefault="001C38A0">
            <w:pPr>
              <w:pStyle w:val="a5"/>
              <w:framePr w:w="9821" w:h="6470" w:wrap="around" w:vAnchor="page" w:hAnchor="page" w:x="1100" w:y="2141"/>
              <w:shd w:val="clear" w:color="auto" w:fill="auto"/>
              <w:spacing w:after="0" w:line="180" w:lineRule="exact"/>
              <w:ind w:left="120"/>
              <w:jc w:val="left"/>
            </w:pPr>
            <w:r>
              <w:rPr>
                <w:rStyle w:val="9pt0pt"/>
              </w:rPr>
              <w:t>Обов’язкова участь банків</w:t>
            </w:r>
          </w:p>
        </w:tc>
      </w:tr>
      <w:tr w:rsidR="00613F37">
        <w:tblPrEx>
          <w:tblCellMar>
            <w:top w:w="0" w:type="dxa"/>
            <w:bottom w:w="0" w:type="dxa"/>
          </w:tblCellMar>
        </w:tblPrEx>
        <w:trPr>
          <w:trHeight w:hRule="exact" w:val="701"/>
        </w:trPr>
        <w:tc>
          <w:tcPr>
            <w:tcW w:w="2093" w:type="dxa"/>
            <w:tcBorders>
              <w:top w:val="single" w:sz="4" w:space="0" w:color="auto"/>
              <w:left w:val="single" w:sz="4" w:space="0" w:color="auto"/>
            </w:tcBorders>
            <w:shd w:val="clear" w:color="auto" w:fill="FFFFFF"/>
            <w:vAlign w:val="bottom"/>
          </w:tcPr>
          <w:p w:rsidR="00613F37" w:rsidRDefault="001C38A0">
            <w:pPr>
              <w:pStyle w:val="a5"/>
              <w:framePr w:w="9821" w:h="6470" w:wrap="around" w:vAnchor="page" w:hAnchor="page" w:x="1100" w:y="2141"/>
              <w:shd w:val="clear" w:color="auto" w:fill="auto"/>
              <w:spacing w:after="0" w:line="226" w:lineRule="exact"/>
              <w:ind w:left="120"/>
              <w:jc w:val="left"/>
            </w:pPr>
            <w:r>
              <w:rPr>
                <w:rStyle w:val="9pt0pt"/>
              </w:rPr>
              <w:t>Встановлений ліміт</w:t>
            </w:r>
          </w:p>
          <w:p w:rsidR="00613F37" w:rsidRDefault="001C38A0">
            <w:pPr>
              <w:pStyle w:val="a5"/>
              <w:framePr w:w="9821" w:h="6470" w:wrap="around" w:vAnchor="page" w:hAnchor="page" w:x="1100" w:y="2141"/>
              <w:shd w:val="clear" w:color="auto" w:fill="auto"/>
              <w:spacing w:after="0" w:line="226" w:lineRule="exact"/>
              <w:ind w:left="120"/>
              <w:jc w:val="left"/>
            </w:pPr>
            <w:r>
              <w:rPr>
                <w:rStyle w:val="9pt0pt"/>
              </w:rPr>
              <w:t>розміру</w:t>
            </w:r>
          </w:p>
          <w:p w:rsidR="00613F37" w:rsidRDefault="001C38A0">
            <w:pPr>
              <w:pStyle w:val="a5"/>
              <w:framePr w:w="9821" w:h="6470" w:wrap="around" w:vAnchor="page" w:hAnchor="page" w:x="1100" w:y="2141"/>
              <w:shd w:val="clear" w:color="auto" w:fill="auto"/>
              <w:spacing w:after="0" w:line="226" w:lineRule="exact"/>
              <w:ind w:left="120"/>
              <w:jc w:val="left"/>
            </w:pPr>
            <w:r>
              <w:rPr>
                <w:rStyle w:val="9pt0pt"/>
              </w:rPr>
              <w:t>відшкодування</w:t>
            </w:r>
          </w:p>
        </w:tc>
        <w:tc>
          <w:tcPr>
            <w:tcW w:w="3864" w:type="dxa"/>
            <w:tcBorders>
              <w:top w:val="single" w:sz="4" w:space="0" w:color="auto"/>
              <w:left w:val="single" w:sz="4" w:space="0" w:color="auto"/>
            </w:tcBorders>
            <w:shd w:val="clear" w:color="auto" w:fill="FFFFFF"/>
            <w:vAlign w:val="center"/>
          </w:tcPr>
          <w:p w:rsidR="00613F37" w:rsidRDefault="001C38A0">
            <w:pPr>
              <w:pStyle w:val="a5"/>
              <w:framePr w:w="9821" w:h="6470" w:wrap="around" w:vAnchor="page" w:hAnchor="page" w:x="1100" w:y="2141"/>
              <w:shd w:val="clear" w:color="auto" w:fill="auto"/>
              <w:spacing w:after="0" w:line="180" w:lineRule="exact"/>
              <w:ind w:left="120"/>
              <w:jc w:val="left"/>
            </w:pPr>
            <w:r>
              <w:rPr>
                <w:rStyle w:val="9pt0pt"/>
              </w:rPr>
              <w:t>100 000 євро</w:t>
            </w:r>
          </w:p>
        </w:tc>
        <w:tc>
          <w:tcPr>
            <w:tcW w:w="3864" w:type="dxa"/>
            <w:tcBorders>
              <w:top w:val="single" w:sz="4" w:space="0" w:color="auto"/>
              <w:left w:val="single" w:sz="4" w:space="0" w:color="auto"/>
              <w:right w:val="single" w:sz="4" w:space="0" w:color="auto"/>
            </w:tcBorders>
            <w:shd w:val="clear" w:color="auto" w:fill="FFFFFF"/>
            <w:vAlign w:val="bottom"/>
          </w:tcPr>
          <w:p w:rsidR="00613F37" w:rsidRDefault="001C38A0">
            <w:pPr>
              <w:pStyle w:val="a5"/>
              <w:framePr w:w="9821" w:h="6470" w:wrap="around" w:vAnchor="page" w:hAnchor="page" w:x="1100" w:y="2141"/>
              <w:shd w:val="clear" w:color="auto" w:fill="auto"/>
              <w:spacing w:after="0" w:line="230" w:lineRule="exact"/>
              <w:ind w:left="120"/>
              <w:jc w:val="left"/>
            </w:pPr>
            <w:r>
              <w:rPr>
                <w:rStyle w:val="9pt0pt"/>
              </w:rPr>
              <w:t>200 000 грн.</w:t>
            </w:r>
          </w:p>
          <w:p w:rsidR="00613F37" w:rsidRDefault="001C38A0">
            <w:pPr>
              <w:pStyle w:val="a5"/>
              <w:framePr w:w="9821" w:h="6470" w:wrap="around" w:vAnchor="page" w:hAnchor="page" w:x="1100" w:y="2141"/>
              <w:shd w:val="clear" w:color="auto" w:fill="auto"/>
              <w:spacing w:after="0" w:line="230" w:lineRule="exact"/>
              <w:ind w:left="120"/>
              <w:jc w:val="left"/>
            </w:pPr>
            <w:r>
              <w:rPr>
                <w:rStyle w:val="9pt0pt"/>
              </w:rPr>
              <w:t>(за курсом НБУ станом на 31.10.2015 - 8 000 євро)</w:t>
            </w:r>
          </w:p>
        </w:tc>
      </w:tr>
      <w:tr w:rsidR="00613F37">
        <w:tblPrEx>
          <w:tblCellMar>
            <w:top w:w="0" w:type="dxa"/>
            <w:bottom w:w="0" w:type="dxa"/>
          </w:tblCellMar>
        </w:tblPrEx>
        <w:trPr>
          <w:trHeight w:hRule="exact" w:val="706"/>
        </w:trPr>
        <w:tc>
          <w:tcPr>
            <w:tcW w:w="2093" w:type="dxa"/>
            <w:tcBorders>
              <w:top w:val="single" w:sz="4" w:space="0" w:color="auto"/>
              <w:left w:val="single" w:sz="4" w:space="0" w:color="auto"/>
              <w:bottom w:val="single" w:sz="4" w:space="0" w:color="auto"/>
            </w:tcBorders>
            <w:shd w:val="clear" w:color="auto" w:fill="FFFFFF"/>
            <w:vAlign w:val="center"/>
          </w:tcPr>
          <w:p w:rsidR="00613F37" w:rsidRDefault="001C38A0">
            <w:pPr>
              <w:pStyle w:val="a5"/>
              <w:framePr w:w="9821" w:h="6470" w:wrap="around" w:vAnchor="page" w:hAnchor="page" w:x="1100" w:y="2141"/>
              <w:shd w:val="clear" w:color="auto" w:fill="auto"/>
              <w:spacing w:after="0" w:line="180" w:lineRule="exact"/>
              <w:ind w:left="120"/>
              <w:jc w:val="left"/>
            </w:pPr>
            <w:r>
              <w:rPr>
                <w:rStyle w:val="9pt0pt"/>
              </w:rPr>
              <w:t>Термін виплат</w:t>
            </w:r>
          </w:p>
        </w:tc>
        <w:tc>
          <w:tcPr>
            <w:tcW w:w="3864" w:type="dxa"/>
            <w:tcBorders>
              <w:top w:val="single" w:sz="4" w:space="0" w:color="auto"/>
              <w:left w:val="single" w:sz="4" w:space="0" w:color="auto"/>
              <w:bottom w:val="single" w:sz="4" w:space="0" w:color="auto"/>
            </w:tcBorders>
            <w:shd w:val="clear" w:color="auto" w:fill="FFFFFF"/>
            <w:vAlign w:val="center"/>
          </w:tcPr>
          <w:p w:rsidR="00613F37" w:rsidRDefault="001C38A0">
            <w:pPr>
              <w:pStyle w:val="a5"/>
              <w:framePr w:w="9821" w:h="6470" w:wrap="around" w:vAnchor="page" w:hAnchor="page" w:x="1100" w:y="2141"/>
              <w:shd w:val="clear" w:color="auto" w:fill="auto"/>
              <w:spacing w:after="0" w:line="230" w:lineRule="exact"/>
              <w:ind w:left="120"/>
              <w:jc w:val="left"/>
            </w:pPr>
            <w:r>
              <w:rPr>
                <w:rStyle w:val="9pt0pt"/>
              </w:rPr>
              <w:t>Упродовж 20 днів; з 01.01.2024 - 7 днів</w:t>
            </w:r>
          </w:p>
        </w:tc>
        <w:tc>
          <w:tcPr>
            <w:tcW w:w="3864" w:type="dxa"/>
            <w:tcBorders>
              <w:top w:val="single" w:sz="4" w:space="0" w:color="auto"/>
              <w:left w:val="single" w:sz="4" w:space="0" w:color="auto"/>
              <w:bottom w:val="single" w:sz="4" w:space="0" w:color="auto"/>
              <w:right w:val="single" w:sz="4" w:space="0" w:color="auto"/>
            </w:tcBorders>
            <w:shd w:val="clear" w:color="auto" w:fill="FFFFFF"/>
            <w:vAlign w:val="bottom"/>
          </w:tcPr>
          <w:p w:rsidR="00613F37" w:rsidRDefault="001C38A0">
            <w:pPr>
              <w:pStyle w:val="a5"/>
              <w:framePr w:w="9821" w:h="6470" w:wrap="around" w:vAnchor="page" w:hAnchor="page" w:x="1100" w:y="2141"/>
              <w:shd w:val="clear" w:color="auto" w:fill="auto"/>
              <w:spacing w:after="0" w:line="226" w:lineRule="exact"/>
              <w:ind w:left="120"/>
              <w:jc w:val="left"/>
            </w:pPr>
            <w:r>
              <w:rPr>
                <w:rStyle w:val="9pt0pt"/>
              </w:rPr>
              <w:t>Початок виплат не пізніше 20 або 30 роб. днів; упродовж дії тимч. адміністрації та ліквідації</w:t>
            </w:r>
          </w:p>
        </w:tc>
      </w:tr>
    </w:tbl>
    <w:p w:rsidR="00613F37" w:rsidRDefault="001C38A0">
      <w:pPr>
        <w:pStyle w:val="a9"/>
        <w:framePr w:w="9806" w:h="1021" w:hRule="exact" w:wrap="around" w:vAnchor="page" w:hAnchor="page" w:x="1110" w:y="8858"/>
        <w:shd w:val="clear" w:color="auto" w:fill="auto"/>
        <w:spacing w:line="322" w:lineRule="exact"/>
        <w:ind w:right="40"/>
      </w:pPr>
      <w:r>
        <w:t xml:space="preserve">Таблиця </w:t>
      </w:r>
      <w:r>
        <w:t>2</w:t>
      </w:r>
    </w:p>
    <w:p w:rsidR="00613F37" w:rsidRDefault="001C38A0">
      <w:pPr>
        <w:pStyle w:val="a9"/>
        <w:framePr w:w="9806" w:h="1021" w:hRule="exact" w:wrap="around" w:vAnchor="page" w:hAnchor="page" w:x="1110" w:y="8858"/>
        <w:shd w:val="clear" w:color="auto" w:fill="auto"/>
        <w:spacing w:line="322" w:lineRule="exact"/>
        <w:ind w:right="40"/>
      </w:pPr>
      <w:r>
        <w:t>Ключові принципи ефективних систем страхування депозитів та виконання</w:t>
      </w:r>
    </w:p>
    <w:p w:rsidR="00613F37" w:rsidRDefault="001C38A0">
      <w:pPr>
        <w:pStyle w:val="a9"/>
        <w:framePr w:w="9806" w:h="1021" w:hRule="exact" w:wrap="around" w:vAnchor="page" w:hAnchor="page" w:x="1110" w:y="8858"/>
        <w:shd w:val="clear" w:color="auto" w:fill="auto"/>
        <w:spacing w:line="322" w:lineRule="exact"/>
        <w:ind w:left="100"/>
        <w:jc w:val="center"/>
      </w:pPr>
      <w:r>
        <w:t>їх в Україні [11]</w:t>
      </w:r>
    </w:p>
    <w:tbl>
      <w:tblPr>
        <w:tblOverlap w:val="never"/>
        <w:tblW w:w="0" w:type="auto"/>
        <w:tblLayout w:type="fixed"/>
        <w:tblCellMar>
          <w:left w:w="10" w:type="dxa"/>
          <w:right w:w="10" w:type="dxa"/>
        </w:tblCellMar>
        <w:tblLook w:val="04A0"/>
      </w:tblPr>
      <w:tblGrid>
        <w:gridCol w:w="576"/>
        <w:gridCol w:w="7752"/>
        <w:gridCol w:w="1493"/>
      </w:tblGrid>
      <w:tr w:rsidR="00613F37">
        <w:tblPrEx>
          <w:tblCellMar>
            <w:top w:w="0" w:type="dxa"/>
            <w:bottom w:w="0" w:type="dxa"/>
          </w:tblCellMar>
        </w:tblPrEx>
        <w:trPr>
          <w:trHeight w:hRule="exact" w:val="1013"/>
        </w:trPr>
        <w:tc>
          <w:tcPr>
            <w:tcW w:w="576" w:type="dxa"/>
            <w:tcBorders>
              <w:top w:val="single" w:sz="4" w:space="0" w:color="auto"/>
              <w:left w:val="single" w:sz="4" w:space="0" w:color="auto"/>
            </w:tcBorders>
            <w:shd w:val="clear" w:color="auto" w:fill="FFFFFF"/>
            <w:vAlign w:val="center"/>
          </w:tcPr>
          <w:p w:rsidR="00613F37" w:rsidRDefault="001C38A0">
            <w:pPr>
              <w:pStyle w:val="a5"/>
              <w:framePr w:w="9821" w:h="4862" w:wrap="around" w:vAnchor="page" w:hAnchor="page" w:x="1100" w:y="10171"/>
              <w:shd w:val="clear" w:color="auto" w:fill="auto"/>
              <w:spacing w:after="60" w:line="180" w:lineRule="exact"/>
              <w:ind w:left="220"/>
              <w:jc w:val="left"/>
            </w:pPr>
            <w:r>
              <w:rPr>
                <w:rStyle w:val="9pt0pt"/>
              </w:rPr>
              <w:t>№</w:t>
            </w:r>
          </w:p>
          <w:p w:rsidR="00613F37" w:rsidRDefault="001C38A0">
            <w:pPr>
              <w:pStyle w:val="a5"/>
              <w:framePr w:w="9821" w:h="4862" w:wrap="around" w:vAnchor="page" w:hAnchor="page" w:x="1100" w:y="10171"/>
              <w:shd w:val="clear" w:color="auto" w:fill="auto"/>
              <w:spacing w:before="60" w:after="0" w:line="180" w:lineRule="exact"/>
              <w:ind w:left="220"/>
              <w:jc w:val="left"/>
            </w:pPr>
            <w:r>
              <w:rPr>
                <w:rStyle w:val="9pt0pt"/>
              </w:rPr>
              <w:t>п/п</w:t>
            </w:r>
          </w:p>
        </w:tc>
        <w:tc>
          <w:tcPr>
            <w:tcW w:w="7752" w:type="dxa"/>
            <w:tcBorders>
              <w:top w:val="single" w:sz="4" w:space="0" w:color="auto"/>
              <w:left w:val="single" w:sz="4" w:space="0" w:color="auto"/>
            </w:tcBorders>
            <w:shd w:val="clear" w:color="auto" w:fill="FFFFFF"/>
            <w:vAlign w:val="center"/>
          </w:tcPr>
          <w:p w:rsidR="00613F37" w:rsidRDefault="001C38A0">
            <w:pPr>
              <w:pStyle w:val="a5"/>
              <w:framePr w:w="9821" w:h="4862" w:wrap="around" w:vAnchor="page" w:hAnchor="page" w:x="1100" w:y="10171"/>
              <w:shd w:val="clear" w:color="auto" w:fill="auto"/>
              <w:spacing w:after="0" w:line="180" w:lineRule="exact"/>
            </w:pPr>
            <w:r>
              <w:rPr>
                <w:rStyle w:val="9pt0pt"/>
              </w:rPr>
              <w:t>Принцип</w:t>
            </w:r>
          </w:p>
        </w:tc>
        <w:tc>
          <w:tcPr>
            <w:tcW w:w="1493" w:type="dxa"/>
            <w:tcBorders>
              <w:top w:val="single" w:sz="4" w:space="0" w:color="auto"/>
              <w:left w:val="single" w:sz="4" w:space="0" w:color="auto"/>
              <w:right w:val="single" w:sz="4" w:space="0" w:color="auto"/>
            </w:tcBorders>
            <w:shd w:val="clear" w:color="auto" w:fill="FFFFFF"/>
            <w:vAlign w:val="center"/>
          </w:tcPr>
          <w:p w:rsidR="00613F37" w:rsidRDefault="001C38A0">
            <w:pPr>
              <w:pStyle w:val="a5"/>
              <w:framePr w:w="9821" w:h="4862" w:wrap="around" w:vAnchor="page" w:hAnchor="page" w:x="1100" w:y="10171"/>
              <w:shd w:val="clear" w:color="auto" w:fill="auto"/>
              <w:spacing w:after="0" w:line="230" w:lineRule="exact"/>
            </w:pPr>
            <w:r>
              <w:rPr>
                <w:rStyle w:val="9pt0pt"/>
              </w:rPr>
              <w:t>Виконання принципу в Україні</w:t>
            </w:r>
          </w:p>
        </w:tc>
      </w:tr>
      <w:tr w:rsidR="00613F37">
        <w:tblPrEx>
          <w:tblCellMar>
            <w:top w:w="0" w:type="dxa"/>
            <w:bottom w:w="0" w:type="dxa"/>
          </w:tblCellMar>
        </w:tblPrEx>
        <w:trPr>
          <w:trHeight w:hRule="exact" w:val="254"/>
        </w:trPr>
        <w:tc>
          <w:tcPr>
            <w:tcW w:w="576" w:type="dxa"/>
            <w:tcBorders>
              <w:top w:val="single" w:sz="4" w:space="0" w:color="auto"/>
              <w:left w:val="single" w:sz="4" w:space="0" w:color="auto"/>
            </w:tcBorders>
            <w:shd w:val="clear" w:color="auto" w:fill="FFFFFF"/>
          </w:tcPr>
          <w:p w:rsidR="00613F37" w:rsidRDefault="001C38A0">
            <w:pPr>
              <w:pStyle w:val="a5"/>
              <w:framePr w:w="9821" w:h="4862" w:wrap="around" w:vAnchor="page" w:hAnchor="page" w:x="1100" w:y="10171"/>
              <w:shd w:val="clear" w:color="auto" w:fill="auto"/>
              <w:spacing w:after="0" w:line="180" w:lineRule="exact"/>
              <w:ind w:left="260"/>
              <w:jc w:val="left"/>
            </w:pPr>
            <w:r>
              <w:rPr>
                <w:rStyle w:val="9pt0pt"/>
              </w:rPr>
              <w:t>і</w:t>
            </w:r>
          </w:p>
        </w:tc>
        <w:tc>
          <w:tcPr>
            <w:tcW w:w="7752" w:type="dxa"/>
            <w:tcBorders>
              <w:top w:val="single" w:sz="4" w:space="0" w:color="auto"/>
              <w:left w:val="single" w:sz="4" w:space="0" w:color="auto"/>
            </w:tcBorders>
            <w:shd w:val="clear" w:color="auto" w:fill="FFFFFF"/>
          </w:tcPr>
          <w:p w:rsidR="00613F37" w:rsidRDefault="001C38A0">
            <w:pPr>
              <w:pStyle w:val="a5"/>
              <w:framePr w:w="9821" w:h="4862" w:wrap="around" w:vAnchor="page" w:hAnchor="page" w:x="1100" w:y="10171"/>
              <w:shd w:val="clear" w:color="auto" w:fill="auto"/>
              <w:spacing w:after="0" w:line="180" w:lineRule="exact"/>
              <w:ind w:left="120"/>
              <w:jc w:val="left"/>
            </w:pPr>
            <w:r>
              <w:rPr>
                <w:rStyle w:val="9pt0pt"/>
              </w:rPr>
              <w:t>Цілі державної політики - захист вкладників та сприяння фінансової стабільності</w:t>
            </w:r>
          </w:p>
        </w:tc>
        <w:tc>
          <w:tcPr>
            <w:tcW w:w="1493" w:type="dxa"/>
            <w:tcBorders>
              <w:top w:val="single" w:sz="4" w:space="0" w:color="auto"/>
              <w:left w:val="single" w:sz="4" w:space="0" w:color="auto"/>
              <w:right w:val="single" w:sz="4" w:space="0" w:color="auto"/>
            </w:tcBorders>
            <w:shd w:val="clear" w:color="auto" w:fill="FFFFFF"/>
          </w:tcPr>
          <w:p w:rsidR="00613F37" w:rsidRDefault="001C38A0">
            <w:pPr>
              <w:pStyle w:val="a5"/>
              <w:framePr w:w="9821" w:h="4862" w:wrap="around" w:vAnchor="page" w:hAnchor="page" w:x="1100" w:y="10171"/>
              <w:shd w:val="clear" w:color="auto" w:fill="auto"/>
              <w:spacing w:after="0" w:line="180" w:lineRule="exact"/>
            </w:pPr>
            <w:r>
              <w:rPr>
                <w:rStyle w:val="9pt0pt0"/>
              </w:rPr>
              <w:t>+/-</w:t>
            </w:r>
          </w:p>
        </w:tc>
      </w:tr>
      <w:tr w:rsidR="00613F37">
        <w:tblPrEx>
          <w:tblCellMar>
            <w:top w:w="0" w:type="dxa"/>
            <w:bottom w:w="0" w:type="dxa"/>
          </w:tblCellMar>
        </w:tblPrEx>
        <w:trPr>
          <w:trHeight w:hRule="exact" w:val="470"/>
        </w:trPr>
        <w:tc>
          <w:tcPr>
            <w:tcW w:w="576" w:type="dxa"/>
            <w:tcBorders>
              <w:top w:val="single" w:sz="4" w:space="0" w:color="auto"/>
              <w:left w:val="single" w:sz="4" w:space="0" w:color="auto"/>
            </w:tcBorders>
            <w:shd w:val="clear" w:color="auto" w:fill="FFFFFF"/>
            <w:vAlign w:val="center"/>
          </w:tcPr>
          <w:p w:rsidR="00613F37" w:rsidRDefault="001C38A0">
            <w:pPr>
              <w:pStyle w:val="a5"/>
              <w:framePr w:w="9821" w:h="4862" w:wrap="around" w:vAnchor="page" w:hAnchor="page" w:x="1100" w:y="10171"/>
              <w:shd w:val="clear" w:color="auto" w:fill="auto"/>
              <w:spacing w:after="0" w:line="180" w:lineRule="exact"/>
              <w:ind w:left="220"/>
              <w:jc w:val="left"/>
            </w:pPr>
            <w:r>
              <w:rPr>
                <w:rStyle w:val="9pt0pt"/>
              </w:rPr>
              <w:t>2</w:t>
            </w:r>
          </w:p>
        </w:tc>
        <w:tc>
          <w:tcPr>
            <w:tcW w:w="7752" w:type="dxa"/>
            <w:tcBorders>
              <w:top w:val="single" w:sz="4" w:space="0" w:color="auto"/>
              <w:left w:val="single" w:sz="4" w:space="0" w:color="auto"/>
            </w:tcBorders>
            <w:shd w:val="clear" w:color="auto" w:fill="FFFFFF"/>
            <w:vAlign w:val="bottom"/>
          </w:tcPr>
          <w:p w:rsidR="00613F37" w:rsidRDefault="001C38A0">
            <w:pPr>
              <w:pStyle w:val="a5"/>
              <w:framePr w:w="9821" w:h="4862" w:wrap="around" w:vAnchor="page" w:hAnchor="page" w:x="1100" w:y="10171"/>
              <w:shd w:val="clear" w:color="auto" w:fill="auto"/>
              <w:spacing w:after="0" w:line="230" w:lineRule="exact"/>
              <w:ind w:left="120"/>
              <w:jc w:val="left"/>
            </w:pPr>
            <w:r>
              <w:rPr>
                <w:rStyle w:val="9pt0pt"/>
              </w:rPr>
              <w:t>Мандат і повноваження - підтримка</w:t>
            </w:r>
            <w:r>
              <w:rPr>
                <w:rStyle w:val="9pt0pt"/>
              </w:rPr>
              <w:t xml:space="preserve"> досягнення цілей державної політики, чітко визначені і офіційно закріплені в законодавстві</w:t>
            </w:r>
          </w:p>
        </w:tc>
        <w:tc>
          <w:tcPr>
            <w:tcW w:w="1493" w:type="dxa"/>
            <w:tcBorders>
              <w:top w:val="single" w:sz="4" w:space="0" w:color="auto"/>
              <w:left w:val="single" w:sz="4" w:space="0" w:color="auto"/>
              <w:right w:val="single" w:sz="4" w:space="0" w:color="auto"/>
            </w:tcBorders>
            <w:shd w:val="clear" w:color="auto" w:fill="FFFFFF"/>
            <w:vAlign w:val="center"/>
          </w:tcPr>
          <w:p w:rsidR="00613F37" w:rsidRDefault="001C38A0">
            <w:pPr>
              <w:pStyle w:val="a5"/>
              <w:framePr w:w="9821" w:h="4862" w:wrap="around" w:vAnchor="page" w:hAnchor="page" w:x="1100" w:y="10171"/>
              <w:shd w:val="clear" w:color="auto" w:fill="auto"/>
              <w:spacing w:after="0" w:line="180" w:lineRule="exact"/>
            </w:pPr>
            <w:r>
              <w:rPr>
                <w:rStyle w:val="9pt0pt0"/>
              </w:rPr>
              <w:t>+</w:t>
            </w:r>
          </w:p>
        </w:tc>
      </w:tr>
      <w:tr w:rsidR="00613F37">
        <w:tblPrEx>
          <w:tblCellMar>
            <w:top w:w="0" w:type="dxa"/>
            <w:bottom w:w="0" w:type="dxa"/>
          </w:tblCellMar>
        </w:tblPrEx>
        <w:trPr>
          <w:trHeight w:hRule="exact" w:val="701"/>
        </w:trPr>
        <w:tc>
          <w:tcPr>
            <w:tcW w:w="576" w:type="dxa"/>
            <w:tcBorders>
              <w:top w:val="single" w:sz="4" w:space="0" w:color="auto"/>
              <w:left w:val="single" w:sz="4" w:space="0" w:color="auto"/>
            </w:tcBorders>
            <w:shd w:val="clear" w:color="auto" w:fill="FFFFFF"/>
            <w:vAlign w:val="center"/>
          </w:tcPr>
          <w:p w:rsidR="00613F37" w:rsidRDefault="001C38A0">
            <w:pPr>
              <w:pStyle w:val="a5"/>
              <w:framePr w:w="9821" w:h="4862" w:wrap="around" w:vAnchor="page" w:hAnchor="page" w:x="1100" w:y="10171"/>
              <w:shd w:val="clear" w:color="auto" w:fill="auto"/>
              <w:spacing w:after="0" w:line="180" w:lineRule="exact"/>
              <w:ind w:left="260"/>
              <w:jc w:val="left"/>
            </w:pPr>
            <w:r>
              <w:rPr>
                <w:rStyle w:val="9pt0pt"/>
              </w:rPr>
              <w:t>3</w:t>
            </w:r>
          </w:p>
        </w:tc>
        <w:tc>
          <w:tcPr>
            <w:tcW w:w="7752" w:type="dxa"/>
            <w:tcBorders>
              <w:top w:val="single" w:sz="4" w:space="0" w:color="auto"/>
              <w:left w:val="single" w:sz="4" w:space="0" w:color="auto"/>
            </w:tcBorders>
            <w:shd w:val="clear" w:color="auto" w:fill="FFFFFF"/>
            <w:vAlign w:val="bottom"/>
          </w:tcPr>
          <w:p w:rsidR="00613F37" w:rsidRDefault="001C38A0">
            <w:pPr>
              <w:pStyle w:val="a5"/>
              <w:framePr w:w="9821" w:h="4862" w:wrap="around" w:vAnchor="page" w:hAnchor="page" w:x="1100" w:y="10171"/>
              <w:shd w:val="clear" w:color="auto" w:fill="auto"/>
              <w:spacing w:after="0" w:line="230" w:lineRule="exact"/>
              <w:ind w:left="120"/>
              <w:jc w:val="left"/>
            </w:pPr>
            <w:r>
              <w:rPr>
                <w:rStyle w:val="9pt0pt"/>
              </w:rPr>
              <w:t xml:space="preserve">Управління - вищий орган управління і керівництва складається з осіб, які повинні бути підзвітним і ізольованим від зовнішніх впливів, та володіти необхідною </w:t>
            </w:r>
            <w:r>
              <w:rPr>
                <w:rStyle w:val="9pt0pt"/>
              </w:rPr>
              <w:t>професійною кваліфікацією і сумлінністю, щодо своїх обов’язків</w:t>
            </w:r>
          </w:p>
        </w:tc>
        <w:tc>
          <w:tcPr>
            <w:tcW w:w="1493" w:type="dxa"/>
            <w:tcBorders>
              <w:top w:val="single" w:sz="4" w:space="0" w:color="auto"/>
              <w:left w:val="single" w:sz="4" w:space="0" w:color="auto"/>
              <w:right w:val="single" w:sz="4" w:space="0" w:color="auto"/>
            </w:tcBorders>
            <w:shd w:val="clear" w:color="auto" w:fill="FFFFFF"/>
            <w:vAlign w:val="center"/>
          </w:tcPr>
          <w:p w:rsidR="00613F37" w:rsidRDefault="001C38A0">
            <w:pPr>
              <w:pStyle w:val="a5"/>
              <w:framePr w:w="9821" w:h="4862" w:wrap="around" w:vAnchor="page" w:hAnchor="page" w:x="1100" w:y="10171"/>
              <w:shd w:val="clear" w:color="auto" w:fill="auto"/>
              <w:spacing w:after="0" w:line="180" w:lineRule="exact"/>
            </w:pPr>
            <w:r>
              <w:rPr>
                <w:rStyle w:val="9pt0pt0"/>
              </w:rPr>
              <w:t>+/-</w:t>
            </w:r>
          </w:p>
        </w:tc>
      </w:tr>
      <w:tr w:rsidR="00613F37">
        <w:tblPrEx>
          <w:tblCellMar>
            <w:top w:w="0" w:type="dxa"/>
            <w:bottom w:w="0" w:type="dxa"/>
          </w:tblCellMar>
        </w:tblPrEx>
        <w:trPr>
          <w:trHeight w:hRule="exact" w:val="542"/>
        </w:trPr>
        <w:tc>
          <w:tcPr>
            <w:tcW w:w="576" w:type="dxa"/>
            <w:tcBorders>
              <w:top w:val="single" w:sz="4" w:space="0" w:color="auto"/>
              <w:left w:val="single" w:sz="4" w:space="0" w:color="auto"/>
            </w:tcBorders>
            <w:shd w:val="clear" w:color="auto" w:fill="FFFFFF"/>
            <w:vAlign w:val="center"/>
          </w:tcPr>
          <w:p w:rsidR="00613F37" w:rsidRDefault="001C38A0">
            <w:pPr>
              <w:pStyle w:val="a5"/>
              <w:framePr w:w="9821" w:h="4862" w:wrap="around" w:vAnchor="page" w:hAnchor="page" w:x="1100" w:y="10171"/>
              <w:shd w:val="clear" w:color="auto" w:fill="auto"/>
              <w:spacing w:after="0" w:line="180" w:lineRule="exact"/>
              <w:ind w:left="220"/>
              <w:jc w:val="left"/>
            </w:pPr>
            <w:r>
              <w:rPr>
                <w:rStyle w:val="9pt0pt"/>
              </w:rPr>
              <w:t>4</w:t>
            </w:r>
          </w:p>
        </w:tc>
        <w:tc>
          <w:tcPr>
            <w:tcW w:w="7752" w:type="dxa"/>
            <w:tcBorders>
              <w:top w:val="single" w:sz="4" w:space="0" w:color="auto"/>
              <w:left w:val="single" w:sz="4" w:space="0" w:color="auto"/>
            </w:tcBorders>
            <w:shd w:val="clear" w:color="auto" w:fill="FFFFFF"/>
            <w:vAlign w:val="bottom"/>
          </w:tcPr>
          <w:p w:rsidR="00613F37" w:rsidRDefault="001C38A0">
            <w:pPr>
              <w:pStyle w:val="a5"/>
              <w:framePr w:w="9821" w:h="4862" w:wrap="around" w:vAnchor="page" w:hAnchor="page" w:x="1100" w:y="10171"/>
              <w:shd w:val="clear" w:color="auto" w:fill="auto"/>
              <w:spacing w:after="0" w:line="226" w:lineRule="exact"/>
              <w:ind w:left="120"/>
              <w:jc w:val="left"/>
            </w:pPr>
            <w:r>
              <w:rPr>
                <w:rStyle w:val="9pt0pt"/>
              </w:rPr>
              <w:t>Відносини з іншими учасниками системи забезпечення фінансової стабільності - безперервний обмін інформацією стосовно функціонування ССД</w:t>
            </w:r>
          </w:p>
        </w:tc>
        <w:tc>
          <w:tcPr>
            <w:tcW w:w="1493" w:type="dxa"/>
            <w:tcBorders>
              <w:top w:val="single" w:sz="4" w:space="0" w:color="auto"/>
              <w:left w:val="single" w:sz="4" w:space="0" w:color="auto"/>
              <w:right w:val="single" w:sz="4" w:space="0" w:color="auto"/>
            </w:tcBorders>
            <w:shd w:val="clear" w:color="auto" w:fill="FFFFFF"/>
            <w:vAlign w:val="center"/>
          </w:tcPr>
          <w:p w:rsidR="00613F37" w:rsidRDefault="001C38A0">
            <w:pPr>
              <w:pStyle w:val="a5"/>
              <w:framePr w:w="9821" w:h="4862" w:wrap="around" w:vAnchor="page" w:hAnchor="page" w:x="1100" w:y="10171"/>
              <w:shd w:val="clear" w:color="auto" w:fill="auto"/>
              <w:spacing w:after="0" w:line="180" w:lineRule="exact"/>
            </w:pPr>
            <w:r>
              <w:rPr>
                <w:rStyle w:val="9pt0pt0"/>
              </w:rPr>
              <w:t>+</w:t>
            </w:r>
          </w:p>
        </w:tc>
      </w:tr>
      <w:tr w:rsidR="00613F37">
        <w:tblPrEx>
          <w:tblCellMar>
            <w:top w:w="0" w:type="dxa"/>
            <w:bottom w:w="0" w:type="dxa"/>
          </w:tblCellMar>
        </w:tblPrEx>
        <w:trPr>
          <w:trHeight w:hRule="exact" w:val="470"/>
        </w:trPr>
        <w:tc>
          <w:tcPr>
            <w:tcW w:w="576" w:type="dxa"/>
            <w:tcBorders>
              <w:top w:val="single" w:sz="4" w:space="0" w:color="auto"/>
              <w:left w:val="single" w:sz="4" w:space="0" w:color="auto"/>
            </w:tcBorders>
            <w:shd w:val="clear" w:color="auto" w:fill="FFFFFF"/>
            <w:vAlign w:val="center"/>
          </w:tcPr>
          <w:p w:rsidR="00613F37" w:rsidRDefault="001C38A0">
            <w:pPr>
              <w:pStyle w:val="a5"/>
              <w:framePr w:w="9821" w:h="4862" w:wrap="around" w:vAnchor="page" w:hAnchor="page" w:x="1100" w:y="10171"/>
              <w:shd w:val="clear" w:color="auto" w:fill="auto"/>
              <w:spacing w:after="0" w:line="180" w:lineRule="exact"/>
              <w:ind w:left="260"/>
              <w:jc w:val="left"/>
            </w:pPr>
            <w:r>
              <w:rPr>
                <w:rStyle w:val="9pt0pt"/>
              </w:rPr>
              <w:t>5</w:t>
            </w:r>
          </w:p>
        </w:tc>
        <w:tc>
          <w:tcPr>
            <w:tcW w:w="7752" w:type="dxa"/>
            <w:tcBorders>
              <w:top w:val="single" w:sz="4" w:space="0" w:color="auto"/>
              <w:left w:val="single" w:sz="4" w:space="0" w:color="auto"/>
            </w:tcBorders>
            <w:shd w:val="clear" w:color="auto" w:fill="FFFFFF"/>
            <w:vAlign w:val="bottom"/>
          </w:tcPr>
          <w:p w:rsidR="00613F37" w:rsidRDefault="001C38A0">
            <w:pPr>
              <w:pStyle w:val="a5"/>
              <w:framePr w:w="9821" w:h="4862" w:wrap="around" w:vAnchor="page" w:hAnchor="page" w:x="1100" w:y="10171"/>
              <w:shd w:val="clear" w:color="auto" w:fill="auto"/>
              <w:spacing w:after="0" w:line="230" w:lineRule="exact"/>
              <w:jc w:val="both"/>
            </w:pPr>
            <w:r>
              <w:rPr>
                <w:rStyle w:val="9pt0pt"/>
              </w:rPr>
              <w:t xml:space="preserve">Транскордонні питання - за умови істотної </w:t>
            </w:r>
            <w:r>
              <w:rPr>
                <w:rStyle w:val="9pt0pt"/>
              </w:rPr>
              <w:t>участі зарубіжних банків, повинен існувати механізм обміну інформацією між страховиками депозитів відповідних країн</w:t>
            </w:r>
          </w:p>
        </w:tc>
        <w:tc>
          <w:tcPr>
            <w:tcW w:w="1493" w:type="dxa"/>
            <w:tcBorders>
              <w:top w:val="single" w:sz="4" w:space="0" w:color="auto"/>
              <w:left w:val="single" w:sz="4" w:space="0" w:color="auto"/>
              <w:right w:val="single" w:sz="4" w:space="0" w:color="auto"/>
            </w:tcBorders>
            <w:shd w:val="clear" w:color="auto" w:fill="FFFFFF"/>
            <w:vAlign w:val="center"/>
          </w:tcPr>
          <w:p w:rsidR="00613F37" w:rsidRDefault="001C38A0">
            <w:pPr>
              <w:pStyle w:val="a5"/>
              <w:framePr w:w="9821" w:h="4862" w:wrap="around" w:vAnchor="page" w:hAnchor="page" w:x="1100" w:y="10171"/>
              <w:shd w:val="clear" w:color="auto" w:fill="auto"/>
              <w:spacing w:after="0" w:line="180" w:lineRule="exact"/>
            </w:pPr>
            <w:r>
              <w:rPr>
                <w:rStyle w:val="9pt0pt0"/>
              </w:rPr>
              <w:t>+/-</w:t>
            </w:r>
          </w:p>
        </w:tc>
      </w:tr>
      <w:tr w:rsidR="00613F37">
        <w:tblPrEx>
          <w:tblCellMar>
            <w:top w:w="0" w:type="dxa"/>
            <w:bottom w:w="0" w:type="dxa"/>
          </w:tblCellMar>
        </w:tblPrEx>
        <w:trPr>
          <w:trHeight w:hRule="exact" w:val="931"/>
        </w:trPr>
        <w:tc>
          <w:tcPr>
            <w:tcW w:w="576" w:type="dxa"/>
            <w:tcBorders>
              <w:top w:val="single" w:sz="4" w:space="0" w:color="auto"/>
              <w:left w:val="single" w:sz="4" w:space="0" w:color="auto"/>
            </w:tcBorders>
            <w:shd w:val="clear" w:color="auto" w:fill="FFFFFF"/>
            <w:vAlign w:val="center"/>
          </w:tcPr>
          <w:p w:rsidR="00613F37" w:rsidRDefault="001C38A0">
            <w:pPr>
              <w:pStyle w:val="a5"/>
              <w:framePr w:w="9821" w:h="4862" w:wrap="around" w:vAnchor="page" w:hAnchor="page" w:x="1100" w:y="10171"/>
              <w:shd w:val="clear" w:color="auto" w:fill="auto"/>
              <w:spacing w:after="0" w:line="180" w:lineRule="exact"/>
              <w:ind w:left="220"/>
              <w:jc w:val="left"/>
            </w:pPr>
            <w:r>
              <w:rPr>
                <w:rStyle w:val="9pt0pt"/>
              </w:rPr>
              <w:t>б</w:t>
            </w:r>
          </w:p>
        </w:tc>
        <w:tc>
          <w:tcPr>
            <w:tcW w:w="7752" w:type="dxa"/>
            <w:tcBorders>
              <w:top w:val="single" w:sz="4" w:space="0" w:color="auto"/>
              <w:left w:val="single" w:sz="4" w:space="0" w:color="auto"/>
            </w:tcBorders>
            <w:shd w:val="clear" w:color="auto" w:fill="FFFFFF"/>
            <w:vAlign w:val="bottom"/>
          </w:tcPr>
          <w:p w:rsidR="00613F37" w:rsidRDefault="001C38A0">
            <w:pPr>
              <w:pStyle w:val="a5"/>
              <w:framePr w:w="9821" w:h="4862" w:wrap="around" w:vAnchor="page" w:hAnchor="page" w:x="1100" w:y="10171"/>
              <w:shd w:val="clear" w:color="auto" w:fill="auto"/>
              <w:spacing w:after="0" w:line="230" w:lineRule="exact"/>
              <w:ind w:left="120"/>
              <w:jc w:val="left"/>
            </w:pPr>
            <w:r>
              <w:rPr>
                <w:rStyle w:val="9pt0pt"/>
              </w:rPr>
              <w:t>Роль страховика депозитів у плануванні на випадок надзвичайних ситуацій та управлінні кризами -</w:t>
            </w:r>
          </w:p>
          <w:p w:rsidR="00613F37" w:rsidRDefault="001C38A0">
            <w:pPr>
              <w:pStyle w:val="a5"/>
              <w:framePr w:w="9821" w:h="4862" w:wrap="around" w:vAnchor="page" w:hAnchor="page" w:x="1100" w:y="10171"/>
              <w:shd w:val="clear" w:color="auto" w:fill="auto"/>
              <w:spacing w:after="0" w:line="230" w:lineRule="exact"/>
              <w:ind w:left="120"/>
              <w:jc w:val="left"/>
            </w:pPr>
            <w:r>
              <w:rPr>
                <w:rStyle w:val="9pt0pt"/>
              </w:rPr>
              <w:t xml:space="preserve">ефективне планування на випадок </w:t>
            </w:r>
            <w:r>
              <w:rPr>
                <w:rStyle w:val="9pt0pt"/>
              </w:rPr>
              <w:t>непередбачених обставин (недостатності фінансових ресурсів, тощо) і криз</w:t>
            </w:r>
          </w:p>
        </w:tc>
        <w:tc>
          <w:tcPr>
            <w:tcW w:w="1493" w:type="dxa"/>
            <w:tcBorders>
              <w:top w:val="single" w:sz="4" w:space="0" w:color="auto"/>
              <w:left w:val="single" w:sz="4" w:space="0" w:color="auto"/>
              <w:right w:val="single" w:sz="4" w:space="0" w:color="auto"/>
            </w:tcBorders>
            <w:shd w:val="clear" w:color="auto" w:fill="FFFFFF"/>
            <w:vAlign w:val="center"/>
          </w:tcPr>
          <w:p w:rsidR="00613F37" w:rsidRDefault="001C38A0">
            <w:pPr>
              <w:pStyle w:val="a5"/>
              <w:framePr w:w="9821" w:h="4862" w:wrap="around" w:vAnchor="page" w:hAnchor="page" w:x="1100" w:y="10171"/>
              <w:shd w:val="clear" w:color="auto" w:fill="auto"/>
              <w:spacing w:after="0" w:line="180" w:lineRule="exact"/>
            </w:pPr>
            <w:r>
              <w:rPr>
                <w:rStyle w:val="9pt0pt0"/>
              </w:rPr>
              <w:t>+/-</w:t>
            </w:r>
          </w:p>
        </w:tc>
      </w:tr>
      <w:tr w:rsidR="00613F37">
        <w:tblPrEx>
          <w:tblCellMar>
            <w:top w:w="0" w:type="dxa"/>
            <w:bottom w:w="0" w:type="dxa"/>
          </w:tblCellMar>
        </w:tblPrEx>
        <w:trPr>
          <w:trHeight w:hRule="exact" w:val="480"/>
        </w:trPr>
        <w:tc>
          <w:tcPr>
            <w:tcW w:w="576" w:type="dxa"/>
            <w:tcBorders>
              <w:top w:val="single" w:sz="4" w:space="0" w:color="auto"/>
              <w:left w:val="single" w:sz="4" w:space="0" w:color="auto"/>
              <w:bottom w:val="single" w:sz="4" w:space="0" w:color="auto"/>
            </w:tcBorders>
            <w:shd w:val="clear" w:color="auto" w:fill="FFFFFF"/>
            <w:vAlign w:val="center"/>
          </w:tcPr>
          <w:p w:rsidR="00613F37" w:rsidRDefault="001C38A0">
            <w:pPr>
              <w:pStyle w:val="a5"/>
              <w:framePr w:w="9821" w:h="4862" w:wrap="around" w:vAnchor="page" w:hAnchor="page" w:x="1100" w:y="10171"/>
              <w:shd w:val="clear" w:color="auto" w:fill="auto"/>
              <w:spacing w:after="0" w:line="180" w:lineRule="exact"/>
              <w:ind w:left="220"/>
              <w:jc w:val="left"/>
            </w:pPr>
            <w:r>
              <w:rPr>
                <w:rStyle w:val="9pt0pt"/>
              </w:rPr>
              <w:t>7</w:t>
            </w:r>
          </w:p>
        </w:tc>
        <w:tc>
          <w:tcPr>
            <w:tcW w:w="7752" w:type="dxa"/>
            <w:tcBorders>
              <w:top w:val="single" w:sz="4" w:space="0" w:color="auto"/>
              <w:left w:val="single" w:sz="4" w:space="0" w:color="auto"/>
              <w:bottom w:val="single" w:sz="4" w:space="0" w:color="auto"/>
            </w:tcBorders>
            <w:shd w:val="clear" w:color="auto" w:fill="FFFFFF"/>
            <w:vAlign w:val="bottom"/>
          </w:tcPr>
          <w:p w:rsidR="00613F37" w:rsidRDefault="001C38A0">
            <w:pPr>
              <w:pStyle w:val="a5"/>
              <w:framePr w:w="9821" w:h="4862" w:wrap="around" w:vAnchor="page" w:hAnchor="page" w:x="1100" w:y="10171"/>
              <w:shd w:val="clear" w:color="auto" w:fill="auto"/>
              <w:spacing w:after="0" w:line="230" w:lineRule="exact"/>
              <w:ind w:left="120"/>
              <w:jc w:val="left"/>
            </w:pPr>
            <w:r>
              <w:rPr>
                <w:rStyle w:val="9pt0pt"/>
              </w:rPr>
              <w:t>Членство - обов’язкове для всіх банків, у тому числі державні, та існування дієвого пруденційного регулювання</w:t>
            </w:r>
          </w:p>
        </w:tc>
        <w:tc>
          <w:tcPr>
            <w:tcW w:w="1493" w:type="dxa"/>
            <w:tcBorders>
              <w:top w:val="single" w:sz="4" w:space="0" w:color="auto"/>
              <w:left w:val="single" w:sz="4" w:space="0" w:color="auto"/>
              <w:bottom w:val="single" w:sz="4" w:space="0" w:color="auto"/>
              <w:right w:val="single" w:sz="4" w:space="0" w:color="auto"/>
            </w:tcBorders>
            <w:shd w:val="clear" w:color="auto" w:fill="FFFFFF"/>
            <w:vAlign w:val="center"/>
          </w:tcPr>
          <w:p w:rsidR="00613F37" w:rsidRDefault="001C38A0">
            <w:pPr>
              <w:pStyle w:val="a5"/>
              <w:framePr w:w="9821" w:h="4862" w:wrap="around" w:vAnchor="page" w:hAnchor="page" w:x="1100" w:y="10171"/>
              <w:shd w:val="clear" w:color="auto" w:fill="auto"/>
              <w:spacing w:after="0" w:line="180" w:lineRule="exact"/>
            </w:pPr>
            <w:r>
              <w:rPr>
                <w:rStyle w:val="9pt0pt0"/>
              </w:rPr>
              <w:t>+/-</w:t>
            </w:r>
          </w:p>
        </w:tc>
      </w:tr>
    </w:tbl>
    <w:p w:rsidR="00613F37" w:rsidRDefault="001C38A0">
      <w:pPr>
        <w:pStyle w:val="a7"/>
        <w:framePr w:wrap="around" w:vAnchor="page" w:hAnchor="page" w:x="985" w:y="15658"/>
        <w:shd w:val="clear" w:color="auto" w:fill="auto"/>
        <w:spacing w:line="180" w:lineRule="exact"/>
        <w:ind w:left="20"/>
      </w:pPr>
      <w:r>
        <w:rPr>
          <w:lang w:val="en-US" w:eastAsia="en-US" w:bidi="en-US"/>
        </w:rPr>
        <w:t xml:space="preserve">ISSN </w:t>
      </w:r>
      <w:r>
        <w:t>1818-2682. Наука молода, 2015 рік. № 23</w:t>
      </w:r>
    </w:p>
    <w:p w:rsidR="00613F37" w:rsidRDefault="001C38A0">
      <w:pPr>
        <w:pStyle w:val="a7"/>
        <w:framePr w:wrap="around" w:vAnchor="page" w:hAnchor="page" w:x="10705" w:y="15662"/>
        <w:shd w:val="clear" w:color="auto" w:fill="auto"/>
        <w:spacing w:line="180" w:lineRule="exact"/>
        <w:ind w:left="20"/>
      </w:pPr>
      <w:r>
        <w:t>43</w:t>
      </w:r>
    </w:p>
    <w:p w:rsidR="00613F37" w:rsidRDefault="00613F37">
      <w:pPr>
        <w:rPr>
          <w:sz w:val="2"/>
          <w:szCs w:val="2"/>
        </w:rPr>
        <w:sectPr w:rsidR="00613F37">
          <w:pgSz w:w="11909" w:h="16838"/>
          <w:pgMar w:top="0" w:right="0" w:bottom="0" w:left="0" w:header="0" w:footer="3" w:gutter="0"/>
          <w:cols w:space="720"/>
          <w:noEndnote/>
          <w:docGrid w:linePitch="360"/>
        </w:sectPr>
      </w:pPr>
    </w:p>
    <w:p w:rsidR="00613F37" w:rsidRDefault="001C38A0">
      <w:pPr>
        <w:pStyle w:val="a5"/>
        <w:framePr w:w="9941" w:h="278" w:hRule="exact" w:wrap="around" w:vAnchor="page" w:hAnchor="page" w:x="1040" w:y="1200"/>
        <w:shd w:val="clear" w:color="auto" w:fill="auto"/>
        <w:spacing w:after="0" w:line="210" w:lineRule="exact"/>
        <w:ind w:right="20"/>
        <w:jc w:val="right"/>
      </w:pPr>
      <w:r>
        <w:lastRenderedPageBreak/>
        <w:t xml:space="preserve">Продовження </w:t>
      </w:r>
      <w:r>
        <w:rPr>
          <w:lang w:val="ru-RU" w:eastAsia="ru-RU" w:bidi="ru-RU"/>
        </w:rPr>
        <w:t>табл.2</w:t>
      </w:r>
    </w:p>
    <w:tbl>
      <w:tblPr>
        <w:tblOverlap w:val="never"/>
        <w:tblW w:w="0" w:type="auto"/>
        <w:tblLayout w:type="fixed"/>
        <w:tblCellMar>
          <w:left w:w="10" w:type="dxa"/>
          <w:right w:w="10" w:type="dxa"/>
        </w:tblCellMar>
        <w:tblLook w:val="04A0"/>
      </w:tblPr>
      <w:tblGrid>
        <w:gridCol w:w="576"/>
        <w:gridCol w:w="7752"/>
        <w:gridCol w:w="1493"/>
      </w:tblGrid>
      <w:tr w:rsidR="00613F37">
        <w:tblPrEx>
          <w:tblCellMar>
            <w:top w:w="0" w:type="dxa"/>
            <w:bottom w:w="0" w:type="dxa"/>
          </w:tblCellMar>
        </w:tblPrEx>
        <w:trPr>
          <w:trHeight w:hRule="exact" w:val="706"/>
        </w:trPr>
        <w:tc>
          <w:tcPr>
            <w:tcW w:w="576" w:type="dxa"/>
            <w:tcBorders>
              <w:top w:val="single" w:sz="4" w:space="0" w:color="auto"/>
              <w:left w:val="single" w:sz="4" w:space="0" w:color="auto"/>
            </w:tcBorders>
            <w:shd w:val="clear" w:color="auto" w:fill="FFFFFF"/>
            <w:vAlign w:val="center"/>
          </w:tcPr>
          <w:p w:rsidR="00613F37" w:rsidRDefault="001C38A0">
            <w:pPr>
              <w:pStyle w:val="a5"/>
              <w:framePr w:w="9821" w:h="5395" w:wrap="around" w:vAnchor="page" w:hAnchor="page" w:x="1146" w:y="1459"/>
              <w:shd w:val="clear" w:color="auto" w:fill="auto"/>
              <w:spacing w:after="0" w:line="180" w:lineRule="exact"/>
              <w:ind w:left="220"/>
              <w:jc w:val="left"/>
            </w:pPr>
            <w:r>
              <w:rPr>
                <w:rStyle w:val="9pt0pt"/>
                <w:lang w:val="en-US" w:eastAsia="en-US" w:bidi="en-US"/>
              </w:rPr>
              <w:t>8</w:t>
            </w:r>
          </w:p>
        </w:tc>
        <w:tc>
          <w:tcPr>
            <w:tcW w:w="7752" w:type="dxa"/>
            <w:tcBorders>
              <w:top w:val="single" w:sz="4" w:space="0" w:color="auto"/>
              <w:left w:val="single" w:sz="4" w:space="0" w:color="auto"/>
            </w:tcBorders>
            <w:shd w:val="clear" w:color="auto" w:fill="FFFFFF"/>
            <w:vAlign w:val="bottom"/>
          </w:tcPr>
          <w:p w:rsidR="00613F37" w:rsidRDefault="001C38A0">
            <w:pPr>
              <w:pStyle w:val="a5"/>
              <w:framePr w:w="9821" w:h="5395" w:wrap="around" w:vAnchor="page" w:hAnchor="page" w:x="1146" w:y="1459"/>
              <w:shd w:val="clear" w:color="auto" w:fill="auto"/>
              <w:spacing w:after="0" w:line="230" w:lineRule="exact"/>
              <w:ind w:left="120"/>
              <w:jc w:val="left"/>
            </w:pPr>
            <w:r>
              <w:rPr>
                <w:rStyle w:val="9pt0pt"/>
              </w:rPr>
              <w:t>Рівень покриття - має бути обмеженим за розміром, надійним і поширюватися на переважну більшість вкладників, періодично (мінімум 1 раз на 5 років) він повинен бути переглянутим</w:t>
            </w:r>
          </w:p>
        </w:tc>
        <w:tc>
          <w:tcPr>
            <w:tcW w:w="1493" w:type="dxa"/>
            <w:tcBorders>
              <w:top w:val="single" w:sz="4" w:space="0" w:color="auto"/>
              <w:left w:val="single" w:sz="4" w:space="0" w:color="auto"/>
              <w:right w:val="single" w:sz="4" w:space="0" w:color="auto"/>
            </w:tcBorders>
            <w:shd w:val="clear" w:color="auto" w:fill="FFFFFF"/>
            <w:vAlign w:val="center"/>
          </w:tcPr>
          <w:p w:rsidR="00613F37" w:rsidRDefault="001C38A0">
            <w:pPr>
              <w:pStyle w:val="a5"/>
              <w:framePr w:w="9821" w:h="5395" w:wrap="around" w:vAnchor="page" w:hAnchor="page" w:x="1146" w:y="1459"/>
              <w:shd w:val="clear" w:color="auto" w:fill="auto"/>
              <w:spacing w:after="0" w:line="180" w:lineRule="exact"/>
            </w:pPr>
            <w:r>
              <w:rPr>
                <w:rStyle w:val="9pt0pt0"/>
              </w:rPr>
              <w:t>+</w:t>
            </w:r>
          </w:p>
        </w:tc>
      </w:tr>
      <w:tr w:rsidR="00613F37">
        <w:tblPrEx>
          <w:tblCellMar>
            <w:top w:w="0" w:type="dxa"/>
            <w:bottom w:w="0" w:type="dxa"/>
          </w:tblCellMar>
        </w:tblPrEx>
        <w:trPr>
          <w:trHeight w:hRule="exact" w:val="701"/>
        </w:trPr>
        <w:tc>
          <w:tcPr>
            <w:tcW w:w="576" w:type="dxa"/>
            <w:tcBorders>
              <w:top w:val="single" w:sz="4" w:space="0" w:color="auto"/>
              <w:left w:val="single" w:sz="4" w:space="0" w:color="auto"/>
            </w:tcBorders>
            <w:shd w:val="clear" w:color="auto" w:fill="FFFFFF"/>
            <w:vAlign w:val="center"/>
          </w:tcPr>
          <w:p w:rsidR="00613F37" w:rsidRDefault="001C38A0">
            <w:pPr>
              <w:pStyle w:val="a5"/>
              <w:framePr w:w="9821" w:h="5395" w:wrap="around" w:vAnchor="page" w:hAnchor="page" w:x="1146" w:y="1459"/>
              <w:shd w:val="clear" w:color="auto" w:fill="auto"/>
              <w:spacing w:after="0" w:line="180" w:lineRule="exact"/>
              <w:ind w:left="220"/>
              <w:jc w:val="left"/>
            </w:pPr>
            <w:r>
              <w:rPr>
                <w:rStyle w:val="9pt0pt"/>
                <w:lang w:val="en-US" w:eastAsia="en-US" w:bidi="en-US"/>
              </w:rPr>
              <w:t>9</w:t>
            </w:r>
          </w:p>
        </w:tc>
        <w:tc>
          <w:tcPr>
            <w:tcW w:w="7752" w:type="dxa"/>
            <w:tcBorders>
              <w:top w:val="single" w:sz="4" w:space="0" w:color="auto"/>
              <w:left w:val="single" w:sz="4" w:space="0" w:color="auto"/>
            </w:tcBorders>
            <w:shd w:val="clear" w:color="auto" w:fill="FFFFFF"/>
            <w:vAlign w:val="bottom"/>
          </w:tcPr>
          <w:p w:rsidR="00613F37" w:rsidRDefault="001C38A0">
            <w:pPr>
              <w:pStyle w:val="a5"/>
              <w:framePr w:w="9821" w:h="5395" w:wrap="around" w:vAnchor="page" w:hAnchor="page" w:x="1146" w:y="1459"/>
              <w:shd w:val="clear" w:color="auto" w:fill="auto"/>
              <w:spacing w:after="0" w:line="230" w:lineRule="exact"/>
              <w:ind w:left="120"/>
              <w:jc w:val="left"/>
            </w:pPr>
            <w:r>
              <w:rPr>
                <w:rStyle w:val="9pt0pt"/>
              </w:rPr>
              <w:t xml:space="preserve">Ресурси та напрями </w:t>
            </w:r>
            <w:r>
              <w:rPr>
                <w:rStyle w:val="9pt0pt"/>
              </w:rPr>
              <w:t>використання коштів - достатність ресурсів фонду, для відшкодування коштів, встановлення цільового розміру фонду, на основі чітких і прозорих критеріїв, які підлягають періодичному перегляду</w:t>
            </w:r>
          </w:p>
        </w:tc>
        <w:tc>
          <w:tcPr>
            <w:tcW w:w="1493" w:type="dxa"/>
            <w:tcBorders>
              <w:top w:val="single" w:sz="4" w:space="0" w:color="auto"/>
              <w:left w:val="single" w:sz="4" w:space="0" w:color="auto"/>
              <w:right w:val="single" w:sz="4" w:space="0" w:color="auto"/>
            </w:tcBorders>
            <w:shd w:val="clear" w:color="auto" w:fill="FFFFFF"/>
            <w:vAlign w:val="center"/>
          </w:tcPr>
          <w:p w:rsidR="00613F37" w:rsidRDefault="001C38A0">
            <w:pPr>
              <w:pStyle w:val="a5"/>
              <w:framePr w:w="9821" w:h="5395" w:wrap="around" w:vAnchor="page" w:hAnchor="page" w:x="1146" w:y="1459"/>
              <w:shd w:val="clear" w:color="auto" w:fill="auto"/>
              <w:spacing w:after="0" w:line="180" w:lineRule="exact"/>
            </w:pPr>
            <w:r>
              <w:rPr>
                <w:rStyle w:val="9pt0pt0"/>
              </w:rPr>
              <w:t>+</w:t>
            </w:r>
          </w:p>
        </w:tc>
      </w:tr>
      <w:tr w:rsidR="00613F37">
        <w:tblPrEx>
          <w:tblCellMar>
            <w:top w:w="0" w:type="dxa"/>
            <w:bottom w:w="0" w:type="dxa"/>
          </w:tblCellMar>
        </w:tblPrEx>
        <w:trPr>
          <w:trHeight w:hRule="exact" w:val="466"/>
        </w:trPr>
        <w:tc>
          <w:tcPr>
            <w:tcW w:w="576" w:type="dxa"/>
            <w:tcBorders>
              <w:top w:val="single" w:sz="4" w:space="0" w:color="auto"/>
              <w:left w:val="single" w:sz="4" w:space="0" w:color="auto"/>
            </w:tcBorders>
            <w:shd w:val="clear" w:color="auto" w:fill="FFFFFF"/>
            <w:vAlign w:val="center"/>
          </w:tcPr>
          <w:p w:rsidR="00613F37" w:rsidRDefault="001C38A0">
            <w:pPr>
              <w:pStyle w:val="a5"/>
              <w:framePr w:w="9821" w:h="5395" w:wrap="around" w:vAnchor="page" w:hAnchor="page" w:x="1146" w:y="1459"/>
              <w:shd w:val="clear" w:color="auto" w:fill="auto"/>
              <w:spacing w:after="0" w:line="180" w:lineRule="exact"/>
              <w:ind w:left="220"/>
              <w:jc w:val="left"/>
            </w:pPr>
            <w:r>
              <w:rPr>
                <w:rStyle w:val="9pt0pt"/>
                <w:lang w:val="en-US" w:eastAsia="en-US" w:bidi="en-US"/>
              </w:rPr>
              <w:t>10</w:t>
            </w:r>
          </w:p>
        </w:tc>
        <w:tc>
          <w:tcPr>
            <w:tcW w:w="7752" w:type="dxa"/>
            <w:tcBorders>
              <w:top w:val="single" w:sz="4" w:space="0" w:color="auto"/>
              <w:left w:val="single" w:sz="4" w:space="0" w:color="auto"/>
            </w:tcBorders>
            <w:shd w:val="clear" w:color="auto" w:fill="FFFFFF"/>
            <w:vAlign w:val="bottom"/>
          </w:tcPr>
          <w:p w:rsidR="00613F37" w:rsidRDefault="001C38A0">
            <w:pPr>
              <w:pStyle w:val="a5"/>
              <w:framePr w:w="9821" w:h="5395" w:wrap="around" w:vAnchor="page" w:hAnchor="page" w:x="1146" w:y="1459"/>
              <w:shd w:val="clear" w:color="auto" w:fill="auto"/>
              <w:spacing w:after="0" w:line="226" w:lineRule="exact"/>
              <w:ind w:left="120"/>
              <w:jc w:val="left"/>
            </w:pPr>
            <w:r>
              <w:rPr>
                <w:rStyle w:val="9pt0pt"/>
              </w:rPr>
              <w:t xml:space="preserve">Публічна інформованість - необхідність безперервного </w:t>
            </w:r>
            <w:r>
              <w:rPr>
                <w:rStyle w:val="9pt0pt"/>
              </w:rPr>
              <w:t>інформування громадськості про ССД, з метою захисту вкладників і сприяння фінансовій стабільності</w:t>
            </w:r>
          </w:p>
        </w:tc>
        <w:tc>
          <w:tcPr>
            <w:tcW w:w="1493" w:type="dxa"/>
            <w:tcBorders>
              <w:top w:val="single" w:sz="4" w:space="0" w:color="auto"/>
              <w:left w:val="single" w:sz="4" w:space="0" w:color="auto"/>
              <w:right w:val="single" w:sz="4" w:space="0" w:color="auto"/>
            </w:tcBorders>
            <w:shd w:val="clear" w:color="auto" w:fill="FFFFFF"/>
            <w:vAlign w:val="center"/>
          </w:tcPr>
          <w:p w:rsidR="00613F37" w:rsidRDefault="001C38A0">
            <w:pPr>
              <w:pStyle w:val="a5"/>
              <w:framePr w:w="9821" w:h="5395" w:wrap="around" w:vAnchor="page" w:hAnchor="page" w:x="1146" w:y="1459"/>
              <w:shd w:val="clear" w:color="auto" w:fill="auto"/>
              <w:spacing w:after="0" w:line="180" w:lineRule="exact"/>
            </w:pPr>
            <w:r>
              <w:rPr>
                <w:rStyle w:val="9pt0pt0"/>
              </w:rPr>
              <w:t>+</w:t>
            </w:r>
          </w:p>
        </w:tc>
      </w:tr>
      <w:tr w:rsidR="00613F37">
        <w:tblPrEx>
          <w:tblCellMar>
            <w:top w:w="0" w:type="dxa"/>
            <w:bottom w:w="0" w:type="dxa"/>
          </w:tblCellMar>
        </w:tblPrEx>
        <w:trPr>
          <w:trHeight w:hRule="exact" w:val="470"/>
        </w:trPr>
        <w:tc>
          <w:tcPr>
            <w:tcW w:w="576" w:type="dxa"/>
            <w:tcBorders>
              <w:top w:val="single" w:sz="4" w:space="0" w:color="auto"/>
              <w:left w:val="single" w:sz="4" w:space="0" w:color="auto"/>
            </w:tcBorders>
            <w:shd w:val="clear" w:color="auto" w:fill="FFFFFF"/>
            <w:vAlign w:val="center"/>
          </w:tcPr>
          <w:p w:rsidR="00613F37" w:rsidRDefault="001C38A0">
            <w:pPr>
              <w:pStyle w:val="a5"/>
              <w:framePr w:w="9821" w:h="5395" w:wrap="around" w:vAnchor="page" w:hAnchor="page" w:x="1146" w:y="1459"/>
              <w:shd w:val="clear" w:color="auto" w:fill="auto"/>
              <w:spacing w:after="0" w:line="180" w:lineRule="exact"/>
              <w:ind w:left="220"/>
              <w:jc w:val="left"/>
            </w:pPr>
            <w:r>
              <w:rPr>
                <w:rStyle w:val="9pt0pt"/>
                <w:lang w:val="en-US" w:eastAsia="en-US" w:bidi="en-US"/>
              </w:rPr>
              <w:t>11</w:t>
            </w:r>
          </w:p>
        </w:tc>
        <w:tc>
          <w:tcPr>
            <w:tcW w:w="7752" w:type="dxa"/>
            <w:tcBorders>
              <w:top w:val="single" w:sz="4" w:space="0" w:color="auto"/>
              <w:left w:val="single" w:sz="4" w:space="0" w:color="auto"/>
            </w:tcBorders>
            <w:shd w:val="clear" w:color="auto" w:fill="FFFFFF"/>
            <w:vAlign w:val="bottom"/>
          </w:tcPr>
          <w:p w:rsidR="00613F37" w:rsidRDefault="001C38A0">
            <w:pPr>
              <w:pStyle w:val="a5"/>
              <w:framePr w:w="9821" w:h="5395" w:wrap="around" w:vAnchor="page" w:hAnchor="page" w:x="1146" w:y="1459"/>
              <w:shd w:val="clear" w:color="auto" w:fill="auto"/>
              <w:spacing w:after="0" w:line="230" w:lineRule="exact"/>
              <w:ind w:left="120"/>
              <w:jc w:val="left"/>
            </w:pPr>
            <w:r>
              <w:rPr>
                <w:rStyle w:val="9pt0pt"/>
              </w:rPr>
              <w:t>Правовий захист - захист від збитків і інших судових рішень проти осіб фонду, прийнятих у процесі виконання покладених на нього обов’язків.</w:t>
            </w:r>
          </w:p>
        </w:tc>
        <w:tc>
          <w:tcPr>
            <w:tcW w:w="1493" w:type="dxa"/>
            <w:tcBorders>
              <w:top w:val="single" w:sz="4" w:space="0" w:color="auto"/>
              <w:left w:val="single" w:sz="4" w:space="0" w:color="auto"/>
              <w:right w:val="single" w:sz="4" w:space="0" w:color="auto"/>
            </w:tcBorders>
            <w:shd w:val="clear" w:color="auto" w:fill="FFFFFF"/>
            <w:vAlign w:val="center"/>
          </w:tcPr>
          <w:p w:rsidR="00613F37" w:rsidRDefault="001C38A0">
            <w:pPr>
              <w:pStyle w:val="a5"/>
              <w:framePr w:w="9821" w:h="5395" w:wrap="around" w:vAnchor="page" w:hAnchor="page" w:x="1146" w:y="1459"/>
              <w:shd w:val="clear" w:color="auto" w:fill="auto"/>
              <w:spacing w:after="0" w:line="180" w:lineRule="exact"/>
            </w:pPr>
            <w:r>
              <w:rPr>
                <w:rStyle w:val="9pt0pt0"/>
              </w:rPr>
              <w:t>+/-</w:t>
            </w:r>
          </w:p>
        </w:tc>
      </w:tr>
      <w:tr w:rsidR="00613F37">
        <w:tblPrEx>
          <w:tblCellMar>
            <w:top w:w="0" w:type="dxa"/>
            <w:bottom w:w="0" w:type="dxa"/>
          </w:tblCellMar>
        </w:tblPrEx>
        <w:trPr>
          <w:trHeight w:hRule="exact" w:val="1162"/>
        </w:trPr>
        <w:tc>
          <w:tcPr>
            <w:tcW w:w="576" w:type="dxa"/>
            <w:tcBorders>
              <w:top w:val="single" w:sz="4" w:space="0" w:color="auto"/>
              <w:left w:val="single" w:sz="4" w:space="0" w:color="auto"/>
            </w:tcBorders>
            <w:shd w:val="clear" w:color="auto" w:fill="FFFFFF"/>
            <w:vAlign w:val="center"/>
          </w:tcPr>
          <w:p w:rsidR="00613F37" w:rsidRDefault="001C38A0">
            <w:pPr>
              <w:pStyle w:val="a5"/>
              <w:framePr w:w="9821" w:h="5395" w:wrap="around" w:vAnchor="page" w:hAnchor="page" w:x="1146" w:y="1459"/>
              <w:shd w:val="clear" w:color="auto" w:fill="auto"/>
              <w:spacing w:after="0" w:line="180" w:lineRule="exact"/>
              <w:ind w:left="220"/>
              <w:jc w:val="left"/>
            </w:pPr>
            <w:r>
              <w:rPr>
                <w:rStyle w:val="9pt0pt"/>
                <w:lang w:val="en-US" w:eastAsia="en-US" w:bidi="en-US"/>
              </w:rPr>
              <w:t>12</w:t>
            </w:r>
          </w:p>
        </w:tc>
        <w:tc>
          <w:tcPr>
            <w:tcW w:w="7752" w:type="dxa"/>
            <w:tcBorders>
              <w:top w:val="single" w:sz="4" w:space="0" w:color="auto"/>
              <w:left w:val="single" w:sz="4" w:space="0" w:color="auto"/>
            </w:tcBorders>
            <w:shd w:val="clear" w:color="auto" w:fill="FFFFFF"/>
            <w:vAlign w:val="bottom"/>
          </w:tcPr>
          <w:p w:rsidR="00613F37" w:rsidRDefault="001C38A0">
            <w:pPr>
              <w:pStyle w:val="a5"/>
              <w:framePr w:w="9821" w:h="5395" w:wrap="around" w:vAnchor="page" w:hAnchor="page" w:x="1146" w:y="1459"/>
              <w:shd w:val="clear" w:color="auto" w:fill="auto"/>
              <w:spacing w:after="0" w:line="230" w:lineRule="exact"/>
              <w:ind w:left="120"/>
              <w:jc w:val="left"/>
            </w:pPr>
            <w:r>
              <w:rPr>
                <w:rStyle w:val="9pt0pt"/>
              </w:rPr>
              <w:t xml:space="preserve">Дії </w:t>
            </w:r>
            <w:r>
              <w:rPr>
                <w:rStyle w:val="9pt0pt"/>
              </w:rPr>
              <w:t>у відношенні сторін, винних у руйнуванні банку - фонд повинен бути наділений повноваженнями щодо юридичного покарання осіб, винних у банкрутстві банку посадових осіб (членів ради директорів, керівників і власників), а також пов’язаних з ними осіб, та поста</w:t>
            </w:r>
            <w:r>
              <w:rPr>
                <w:rStyle w:val="9pt0pt"/>
              </w:rPr>
              <w:t>чальників професійних послуг (аудиторів, бухгалтерів, юристів та оцінювачів активів)</w:t>
            </w:r>
          </w:p>
        </w:tc>
        <w:tc>
          <w:tcPr>
            <w:tcW w:w="1493" w:type="dxa"/>
            <w:tcBorders>
              <w:top w:val="single" w:sz="4" w:space="0" w:color="auto"/>
              <w:left w:val="single" w:sz="4" w:space="0" w:color="auto"/>
              <w:right w:val="single" w:sz="4" w:space="0" w:color="auto"/>
            </w:tcBorders>
            <w:shd w:val="clear" w:color="auto" w:fill="FFFFFF"/>
            <w:vAlign w:val="center"/>
          </w:tcPr>
          <w:p w:rsidR="00613F37" w:rsidRDefault="001C38A0">
            <w:pPr>
              <w:pStyle w:val="a5"/>
              <w:framePr w:w="9821" w:h="5395" w:wrap="around" w:vAnchor="page" w:hAnchor="page" w:x="1146" w:y="1459"/>
              <w:shd w:val="clear" w:color="auto" w:fill="auto"/>
              <w:spacing w:after="0" w:line="180" w:lineRule="exact"/>
            </w:pPr>
            <w:r>
              <w:rPr>
                <w:rStyle w:val="9pt0pt0"/>
              </w:rPr>
              <w:t>-</w:t>
            </w:r>
          </w:p>
        </w:tc>
      </w:tr>
      <w:tr w:rsidR="00613F37">
        <w:tblPrEx>
          <w:tblCellMar>
            <w:top w:w="0" w:type="dxa"/>
            <w:bottom w:w="0" w:type="dxa"/>
          </w:tblCellMar>
        </w:tblPrEx>
        <w:trPr>
          <w:trHeight w:hRule="exact" w:val="470"/>
        </w:trPr>
        <w:tc>
          <w:tcPr>
            <w:tcW w:w="576" w:type="dxa"/>
            <w:tcBorders>
              <w:top w:val="single" w:sz="4" w:space="0" w:color="auto"/>
              <w:left w:val="single" w:sz="4" w:space="0" w:color="auto"/>
            </w:tcBorders>
            <w:shd w:val="clear" w:color="auto" w:fill="FFFFFF"/>
            <w:vAlign w:val="center"/>
          </w:tcPr>
          <w:p w:rsidR="00613F37" w:rsidRDefault="001C38A0">
            <w:pPr>
              <w:pStyle w:val="a5"/>
              <w:framePr w:w="9821" w:h="5395" w:wrap="around" w:vAnchor="page" w:hAnchor="page" w:x="1146" w:y="1459"/>
              <w:shd w:val="clear" w:color="auto" w:fill="auto"/>
              <w:spacing w:after="0" w:line="180" w:lineRule="exact"/>
              <w:ind w:left="220"/>
              <w:jc w:val="left"/>
            </w:pPr>
            <w:r>
              <w:rPr>
                <w:rStyle w:val="9pt0pt"/>
                <w:lang w:val="en-US" w:eastAsia="en-US" w:bidi="en-US"/>
              </w:rPr>
              <w:t>13</w:t>
            </w:r>
          </w:p>
        </w:tc>
        <w:tc>
          <w:tcPr>
            <w:tcW w:w="7752" w:type="dxa"/>
            <w:tcBorders>
              <w:top w:val="single" w:sz="4" w:space="0" w:color="auto"/>
              <w:left w:val="single" w:sz="4" w:space="0" w:color="auto"/>
            </w:tcBorders>
            <w:shd w:val="clear" w:color="auto" w:fill="FFFFFF"/>
            <w:vAlign w:val="bottom"/>
          </w:tcPr>
          <w:p w:rsidR="00613F37" w:rsidRDefault="001C38A0">
            <w:pPr>
              <w:pStyle w:val="a5"/>
              <w:framePr w:w="9821" w:h="5395" w:wrap="around" w:vAnchor="page" w:hAnchor="page" w:x="1146" w:y="1459"/>
              <w:shd w:val="clear" w:color="auto" w:fill="auto"/>
              <w:spacing w:after="0" w:line="230" w:lineRule="exact"/>
              <w:ind w:left="120"/>
              <w:jc w:val="left"/>
            </w:pPr>
            <w:r>
              <w:rPr>
                <w:rStyle w:val="9pt0pt"/>
              </w:rPr>
              <w:t>Раннє виявлення та своєчасне втручання - має бути завчасним і виваженим у діяльність проблемного банку</w:t>
            </w:r>
          </w:p>
        </w:tc>
        <w:tc>
          <w:tcPr>
            <w:tcW w:w="1493" w:type="dxa"/>
            <w:tcBorders>
              <w:top w:val="single" w:sz="4" w:space="0" w:color="auto"/>
              <w:left w:val="single" w:sz="4" w:space="0" w:color="auto"/>
              <w:right w:val="single" w:sz="4" w:space="0" w:color="auto"/>
            </w:tcBorders>
            <w:shd w:val="clear" w:color="auto" w:fill="FFFFFF"/>
            <w:vAlign w:val="center"/>
          </w:tcPr>
          <w:p w:rsidR="00613F37" w:rsidRDefault="001C38A0">
            <w:pPr>
              <w:pStyle w:val="a5"/>
              <w:framePr w:w="9821" w:h="5395" w:wrap="around" w:vAnchor="page" w:hAnchor="page" w:x="1146" w:y="1459"/>
              <w:shd w:val="clear" w:color="auto" w:fill="auto"/>
              <w:spacing w:after="0" w:line="180" w:lineRule="exact"/>
            </w:pPr>
            <w:r>
              <w:rPr>
                <w:rStyle w:val="9pt0pt0"/>
              </w:rPr>
              <w:t>+/-</w:t>
            </w:r>
          </w:p>
        </w:tc>
      </w:tr>
      <w:tr w:rsidR="00613F37">
        <w:tblPrEx>
          <w:tblCellMar>
            <w:top w:w="0" w:type="dxa"/>
            <w:bottom w:w="0" w:type="dxa"/>
          </w:tblCellMar>
        </w:tblPrEx>
        <w:trPr>
          <w:trHeight w:hRule="exact" w:val="470"/>
        </w:trPr>
        <w:tc>
          <w:tcPr>
            <w:tcW w:w="576" w:type="dxa"/>
            <w:tcBorders>
              <w:top w:val="single" w:sz="4" w:space="0" w:color="auto"/>
              <w:left w:val="single" w:sz="4" w:space="0" w:color="auto"/>
            </w:tcBorders>
            <w:shd w:val="clear" w:color="auto" w:fill="FFFFFF"/>
            <w:vAlign w:val="center"/>
          </w:tcPr>
          <w:p w:rsidR="00613F37" w:rsidRDefault="001C38A0">
            <w:pPr>
              <w:pStyle w:val="a5"/>
              <w:framePr w:w="9821" w:h="5395" w:wrap="around" w:vAnchor="page" w:hAnchor="page" w:x="1146" w:y="1459"/>
              <w:shd w:val="clear" w:color="auto" w:fill="auto"/>
              <w:spacing w:after="0" w:line="180" w:lineRule="exact"/>
              <w:ind w:left="220"/>
              <w:jc w:val="left"/>
            </w:pPr>
            <w:r>
              <w:rPr>
                <w:rStyle w:val="9pt0pt"/>
                <w:lang w:val="en-US" w:eastAsia="en-US" w:bidi="en-US"/>
              </w:rPr>
              <w:t>14</w:t>
            </w:r>
          </w:p>
        </w:tc>
        <w:tc>
          <w:tcPr>
            <w:tcW w:w="7752" w:type="dxa"/>
            <w:tcBorders>
              <w:top w:val="single" w:sz="4" w:space="0" w:color="auto"/>
              <w:left w:val="single" w:sz="4" w:space="0" w:color="auto"/>
            </w:tcBorders>
            <w:shd w:val="clear" w:color="auto" w:fill="FFFFFF"/>
            <w:vAlign w:val="bottom"/>
          </w:tcPr>
          <w:p w:rsidR="00613F37" w:rsidRDefault="001C38A0">
            <w:pPr>
              <w:pStyle w:val="a5"/>
              <w:framePr w:w="9821" w:h="5395" w:wrap="around" w:vAnchor="page" w:hAnchor="page" w:x="1146" w:y="1459"/>
              <w:shd w:val="clear" w:color="auto" w:fill="auto"/>
              <w:spacing w:after="0" w:line="230" w:lineRule="exact"/>
              <w:ind w:left="120"/>
              <w:jc w:val="left"/>
            </w:pPr>
            <w:r>
              <w:rPr>
                <w:rStyle w:val="9pt0pt"/>
              </w:rPr>
              <w:t>Регулювання роботи з проблемними банками - достатність</w:t>
            </w:r>
            <w:r>
              <w:rPr>
                <w:rStyle w:val="9pt0pt"/>
              </w:rPr>
              <w:t xml:space="preserve"> ресурсів фонду, для застосування своїх повноважень по врегулюванню неплатоспроможності банку</w:t>
            </w:r>
          </w:p>
        </w:tc>
        <w:tc>
          <w:tcPr>
            <w:tcW w:w="1493" w:type="dxa"/>
            <w:tcBorders>
              <w:top w:val="single" w:sz="4" w:space="0" w:color="auto"/>
              <w:left w:val="single" w:sz="4" w:space="0" w:color="auto"/>
              <w:right w:val="single" w:sz="4" w:space="0" w:color="auto"/>
            </w:tcBorders>
            <w:shd w:val="clear" w:color="auto" w:fill="FFFFFF"/>
            <w:vAlign w:val="center"/>
          </w:tcPr>
          <w:p w:rsidR="00613F37" w:rsidRDefault="001C38A0">
            <w:pPr>
              <w:pStyle w:val="a5"/>
              <w:framePr w:w="9821" w:h="5395" w:wrap="around" w:vAnchor="page" w:hAnchor="page" w:x="1146" w:y="1459"/>
              <w:shd w:val="clear" w:color="auto" w:fill="auto"/>
              <w:spacing w:after="0" w:line="180" w:lineRule="exact"/>
            </w:pPr>
            <w:r>
              <w:rPr>
                <w:rStyle w:val="9pt0pt0"/>
              </w:rPr>
              <w:t>+</w:t>
            </w:r>
          </w:p>
        </w:tc>
      </w:tr>
      <w:tr w:rsidR="00613F37">
        <w:tblPrEx>
          <w:tblCellMar>
            <w:top w:w="0" w:type="dxa"/>
            <w:bottom w:w="0" w:type="dxa"/>
          </w:tblCellMar>
        </w:tblPrEx>
        <w:trPr>
          <w:trHeight w:hRule="exact" w:val="470"/>
        </w:trPr>
        <w:tc>
          <w:tcPr>
            <w:tcW w:w="576" w:type="dxa"/>
            <w:tcBorders>
              <w:top w:val="single" w:sz="4" w:space="0" w:color="auto"/>
              <w:left w:val="single" w:sz="4" w:space="0" w:color="auto"/>
            </w:tcBorders>
            <w:shd w:val="clear" w:color="auto" w:fill="FFFFFF"/>
            <w:vAlign w:val="center"/>
          </w:tcPr>
          <w:p w:rsidR="00613F37" w:rsidRDefault="001C38A0">
            <w:pPr>
              <w:pStyle w:val="a5"/>
              <w:framePr w:w="9821" w:h="5395" w:wrap="around" w:vAnchor="page" w:hAnchor="page" w:x="1146" w:y="1459"/>
              <w:shd w:val="clear" w:color="auto" w:fill="auto"/>
              <w:spacing w:after="0" w:line="180" w:lineRule="exact"/>
              <w:ind w:left="220"/>
              <w:jc w:val="left"/>
            </w:pPr>
            <w:r>
              <w:rPr>
                <w:rStyle w:val="9pt0pt"/>
                <w:lang w:val="en-US" w:eastAsia="en-US" w:bidi="en-US"/>
              </w:rPr>
              <w:t>15</w:t>
            </w:r>
          </w:p>
        </w:tc>
        <w:tc>
          <w:tcPr>
            <w:tcW w:w="7752" w:type="dxa"/>
            <w:tcBorders>
              <w:top w:val="single" w:sz="4" w:space="0" w:color="auto"/>
              <w:left w:val="single" w:sz="4" w:space="0" w:color="auto"/>
            </w:tcBorders>
            <w:shd w:val="clear" w:color="auto" w:fill="FFFFFF"/>
            <w:vAlign w:val="bottom"/>
          </w:tcPr>
          <w:p w:rsidR="00613F37" w:rsidRDefault="001C38A0">
            <w:pPr>
              <w:pStyle w:val="a5"/>
              <w:framePr w:w="9821" w:h="5395" w:wrap="around" w:vAnchor="page" w:hAnchor="page" w:x="1146" w:y="1459"/>
              <w:shd w:val="clear" w:color="auto" w:fill="auto"/>
              <w:spacing w:after="0" w:line="230" w:lineRule="exact"/>
              <w:ind w:left="120"/>
              <w:jc w:val="left"/>
            </w:pPr>
            <w:r>
              <w:rPr>
                <w:rStyle w:val="9pt0pt"/>
              </w:rPr>
              <w:t>Особливості відшкодування вкладникам - оперативна виплата коштів вкладникам протягом 7 днів, з метою сприяння фінансової стабільності</w:t>
            </w:r>
          </w:p>
        </w:tc>
        <w:tc>
          <w:tcPr>
            <w:tcW w:w="1493" w:type="dxa"/>
            <w:tcBorders>
              <w:top w:val="single" w:sz="4" w:space="0" w:color="auto"/>
              <w:left w:val="single" w:sz="4" w:space="0" w:color="auto"/>
              <w:right w:val="single" w:sz="4" w:space="0" w:color="auto"/>
            </w:tcBorders>
            <w:shd w:val="clear" w:color="auto" w:fill="FFFFFF"/>
            <w:vAlign w:val="center"/>
          </w:tcPr>
          <w:p w:rsidR="00613F37" w:rsidRDefault="001C38A0">
            <w:pPr>
              <w:pStyle w:val="a5"/>
              <w:framePr w:w="9821" w:h="5395" w:wrap="around" w:vAnchor="page" w:hAnchor="page" w:x="1146" w:y="1459"/>
              <w:shd w:val="clear" w:color="auto" w:fill="auto"/>
              <w:spacing w:after="0" w:line="180" w:lineRule="exact"/>
            </w:pPr>
            <w:r>
              <w:rPr>
                <w:rStyle w:val="9pt0pt0"/>
              </w:rPr>
              <w:t>-</w:t>
            </w:r>
          </w:p>
        </w:tc>
      </w:tr>
      <w:tr w:rsidR="00613F37">
        <w:tblPrEx>
          <w:tblCellMar>
            <w:top w:w="0" w:type="dxa"/>
            <w:bottom w:w="0" w:type="dxa"/>
          </w:tblCellMar>
        </w:tblPrEx>
        <w:trPr>
          <w:trHeight w:hRule="exact" w:val="480"/>
        </w:trPr>
        <w:tc>
          <w:tcPr>
            <w:tcW w:w="576" w:type="dxa"/>
            <w:tcBorders>
              <w:top w:val="single" w:sz="4" w:space="0" w:color="auto"/>
              <w:left w:val="single" w:sz="4" w:space="0" w:color="auto"/>
              <w:bottom w:val="single" w:sz="4" w:space="0" w:color="auto"/>
            </w:tcBorders>
            <w:shd w:val="clear" w:color="auto" w:fill="FFFFFF"/>
            <w:vAlign w:val="center"/>
          </w:tcPr>
          <w:p w:rsidR="00613F37" w:rsidRDefault="001C38A0">
            <w:pPr>
              <w:pStyle w:val="a5"/>
              <w:framePr w:w="9821" w:h="5395" w:wrap="around" w:vAnchor="page" w:hAnchor="page" w:x="1146" w:y="1459"/>
              <w:shd w:val="clear" w:color="auto" w:fill="auto"/>
              <w:spacing w:after="0" w:line="180" w:lineRule="exact"/>
              <w:ind w:left="220"/>
              <w:jc w:val="left"/>
            </w:pPr>
            <w:r>
              <w:rPr>
                <w:rStyle w:val="9pt0pt"/>
                <w:lang w:val="en-US" w:eastAsia="en-US" w:bidi="en-US"/>
              </w:rPr>
              <w:t>16</w:t>
            </w:r>
          </w:p>
        </w:tc>
        <w:tc>
          <w:tcPr>
            <w:tcW w:w="7752" w:type="dxa"/>
            <w:tcBorders>
              <w:top w:val="single" w:sz="4" w:space="0" w:color="auto"/>
              <w:left w:val="single" w:sz="4" w:space="0" w:color="auto"/>
              <w:bottom w:val="single" w:sz="4" w:space="0" w:color="auto"/>
            </w:tcBorders>
            <w:shd w:val="clear" w:color="auto" w:fill="FFFFFF"/>
            <w:vAlign w:val="bottom"/>
          </w:tcPr>
          <w:p w:rsidR="00613F37" w:rsidRDefault="001C38A0">
            <w:pPr>
              <w:pStyle w:val="a5"/>
              <w:framePr w:w="9821" w:h="5395" w:wrap="around" w:vAnchor="page" w:hAnchor="page" w:x="1146" w:y="1459"/>
              <w:shd w:val="clear" w:color="auto" w:fill="auto"/>
              <w:spacing w:after="0" w:line="230" w:lineRule="exact"/>
              <w:ind w:left="120"/>
              <w:jc w:val="left"/>
            </w:pPr>
            <w:r>
              <w:rPr>
                <w:rStyle w:val="9pt0pt"/>
              </w:rPr>
              <w:t xml:space="preserve">Відшкодування </w:t>
            </w:r>
            <w:r>
              <w:rPr>
                <w:rStyle w:val="9pt0pt"/>
              </w:rPr>
              <w:t>витрат - законодавство має наділяти фонд правом на задоволення його вимог із продажу активів банку, відповідно до черговості вимог кредиторів</w:t>
            </w:r>
          </w:p>
        </w:tc>
        <w:tc>
          <w:tcPr>
            <w:tcW w:w="1493" w:type="dxa"/>
            <w:tcBorders>
              <w:top w:val="single" w:sz="4" w:space="0" w:color="auto"/>
              <w:left w:val="single" w:sz="4" w:space="0" w:color="auto"/>
              <w:bottom w:val="single" w:sz="4" w:space="0" w:color="auto"/>
              <w:right w:val="single" w:sz="4" w:space="0" w:color="auto"/>
            </w:tcBorders>
            <w:shd w:val="clear" w:color="auto" w:fill="FFFFFF"/>
            <w:vAlign w:val="center"/>
          </w:tcPr>
          <w:p w:rsidR="00613F37" w:rsidRDefault="001C38A0">
            <w:pPr>
              <w:pStyle w:val="a5"/>
              <w:framePr w:w="9821" w:h="5395" w:wrap="around" w:vAnchor="page" w:hAnchor="page" w:x="1146" w:y="1459"/>
              <w:shd w:val="clear" w:color="auto" w:fill="auto"/>
              <w:spacing w:after="0" w:line="180" w:lineRule="exact"/>
            </w:pPr>
            <w:r>
              <w:rPr>
                <w:rStyle w:val="9pt0pt0"/>
              </w:rPr>
              <w:t>+/-</w:t>
            </w:r>
          </w:p>
        </w:tc>
      </w:tr>
    </w:tbl>
    <w:p w:rsidR="00613F37" w:rsidRDefault="001C38A0">
      <w:pPr>
        <w:pStyle w:val="a5"/>
        <w:framePr w:w="9941" w:h="8059" w:hRule="exact" w:wrap="around" w:vAnchor="page" w:hAnchor="page" w:x="1040" w:y="7092"/>
        <w:shd w:val="clear" w:color="auto" w:fill="auto"/>
        <w:spacing w:after="0"/>
        <w:ind w:left="20" w:right="20" w:firstLine="560"/>
        <w:jc w:val="both"/>
      </w:pPr>
      <w:r>
        <w:rPr>
          <w:rStyle w:val="0pt"/>
        </w:rPr>
        <w:t xml:space="preserve">Висновки та перспективи подальших досліджень. </w:t>
      </w:r>
      <w:r>
        <w:t xml:space="preserve">Підсумовуючи вище зазначене, можемо зробити висновок, що </w:t>
      </w:r>
      <w:r>
        <w:t>існування ССД допомагає підвищити довіру до фінансово- кредитних установ. Однак, вітчизняна система захисту вкладів, на нашу думку, має ряд аспектів, котрі потрібно запровадити або ж вдосконалити, згідно із світовою практикою.</w:t>
      </w:r>
    </w:p>
    <w:p w:rsidR="00613F37" w:rsidRDefault="001C38A0">
      <w:pPr>
        <w:pStyle w:val="a5"/>
        <w:framePr w:w="9941" w:h="8059" w:hRule="exact" w:wrap="around" w:vAnchor="page" w:hAnchor="page" w:x="1040" w:y="7092"/>
        <w:shd w:val="clear" w:color="auto" w:fill="auto"/>
        <w:ind w:left="20" w:right="20" w:firstLine="560"/>
        <w:jc w:val="both"/>
      </w:pPr>
      <w:r>
        <w:t>Відповідно до останніх дій НБ</w:t>
      </w:r>
      <w:r>
        <w:t>У, стосовно підвищення рівня прозорості інформації про власників банку, корисно використати та запровадити німецький досвід, котрий більш жорсткіше ставиться до пов’язаних із банком осіб, керівників, а також їхніх прямих родичів, котрим, у разі банкрутства</w:t>
      </w:r>
      <w:r>
        <w:t xml:space="preserve"> банку, кошти не відшкодовуються. Слід забезпечити прозору роботу судової системи та дій від ФГВФО і НБУ. Корисно запровадити диференційовані внески до ФГВФО, які б базувались або на рейтинговій оціночній системі </w:t>
      </w:r>
      <w:r>
        <w:rPr>
          <w:lang w:val="en-US" w:eastAsia="en-US" w:bidi="en-US"/>
        </w:rPr>
        <w:t>CAMELS</w:t>
      </w:r>
      <w:r w:rsidRPr="00045E84">
        <w:rPr>
          <w:lang w:eastAsia="en-US" w:bidi="en-US"/>
        </w:rPr>
        <w:t xml:space="preserve"> </w:t>
      </w:r>
      <w:r>
        <w:t>чи на системі оцінки ризиків, підвищ</w:t>
      </w:r>
      <w:r>
        <w:t>ити ефективність здійснення банківського нагляду та ефективного моніторингу проблемно-ризикових банків шляхом подвійного нагляду, як з боку НБУ так і збоку Фонду.</w:t>
      </w:r>
    </w:p>
    <w:p w:rsidR="00613F37" w:rsidRDefault="001C38A0">
      <w:pPr>
        <w:pStyle w:val="22"/>
        <w:framePr w:w="9941" w:h="8059" w:hRule="exact" w:wrap="around" w:vAnchor="page" w:hAnchor="page" w:x="1040" w:y="7092"/>
        <w:shd w:val="clear" w:color="auto" w:fill="auto"/>
        <w:spacing w:before="0"/>
        <w:ind w:left="4220"/>
      </w:pPr>
      <w:bookmarkStart w:id="1" w:name="bookmark1"/>
      <w:r>
        <w:t>Список літератури</w:t>
      </w:r>
      <w:bookmarkEnd w:id="1"/>
    </w:p>
    <w:p w:rsidR="00613F37" w:rsidRPr="00045E84" w:rsidRDefault="001C38A0">
      <w:pPr>
        <w:pStyle w:val="50"/>
        <w:framePr w:w="9941" w:h="8059" w:hRule="exact" w:wrap="around" w:vAnchor="page" w:hAnchor="page" w:x="1040" w:y="7092"/>
        <w:numPr>
          <w:ilvl w:val="0"/>
          <w:numId w:val="2"/>
        </w:numPr>
        <w:shd w:val="clear" w:color="auto" w:fill="auto"/>
        <w:ind w:left="20" w:right="20" w:firstLine="560"/>
        <w:rPr>
          <w:lang w:val="uk-UA"/>
        </w:rPr>
      </w:pPr>
      <w:r>
        <w:rPr>
          <w:lang w:val="uk-UA" w:eastAsia="uk-UA" w:bidi="uk-UA"/>
        </w:rPr>
        <w:t xml:space="preserve"> Закон України «Про систему гарантування вкладів фізичних осіб»: прийнятий </w:t>
      </w:r>
      <w:r>
        <w:rPr>
          <w:lang w:val="uk-UA" w:eastAsia="uk-UA" w:bidi="uk-UA"/>
        </w:rPr>
        <w:t xml:space="preserve">від 23.02.2012 року, редакція від 12 серпня 2015 року [Електронний ресурс] - Режим доступу: </w:t>
      </w:r>
      <w:hyperlink r:id="rId13" w:history="1">
        <w:r>
          <w:rPr>
            <w:rStyle w:val="a3"/>
          </w:rPr>
          <w:t>http</w:t>
        </w:r>
        <w:r w:rsidRPr="00045E84">
          <w:rPr>
            <w:rStyle w:val="a3"/>
            <w:lang w:val="uk-UA"/>
          </w:rPr>
          <w:t>://</w:t>
        </w:r>
        <w:r>
          <w:rPr>
            <w:rStyle w:val="a3"/>
          </w:rPr>
          <w:t>zakon</w:t>
        </w:r>
        <w:r w:rsidRPr="00045E84">
          <w:rPr>
            <w:rStyle w:val="a3"/>
            <w:lang w:val="uk-UA"/>
          </w:rPr>
          <w:t>2</w:t>
        </w:r>
      </w:hyperlink>
      <w:r w:rsidRPr="00045E84">
        <w:rPr>
          <w:lang w:val="uk-UA"/>
        </w:rPr>
        <w:t xml:space="preserve">. </w:t>
      </w:r>
      <w:r>
        <w:t>rada</w:t>
      </w:r>
      <w:r w:rsidRPr="00045E84">
        <w:rPr>
          <w:lang w:val="uk-UA"/>
        </w:rPr>
        <w:t>.</w:t>
      </w:r>
      <w:r>
        <w:t>gov</w:t>
      </w:r>
      <w:r w:rsidRPr="00045E84">
        <w:rPr>
          <w:lang w:val="uk-UA"/>
        </w:rPr>
        <w:t xml:space="preserve">. </w:t>
      </w:r>
      <w:r>
        <w:t>ua</w:t>
      </w:r>
      <w:r w:rsidRPr="00045E84">
        <w:rPr>
          <w:lang w:val="uk-UA"/>
        </w:rPr>
        <w:t>/</w:t>
      </w:r>
      <w:r>
        <w:t>laws</w:t>
      </w:r>
      <w:r w:rsidRPr="00045E84">
        <w:rPr>
          <w:lang w:val="uk-UA"/>
        </w:rPr>
        <w:t>/</w:t>
      </w:r>
      <w:r>
        <w:t>show</w:t>
      </w:r>
      <w:r w:rsidRPr="00045E84">
        <w:rPr>
          <w:lang w:val="uk-UA"/>
        </w:rPr>
        <w:t>/4452-17</w:t>
      </w:r>
    </w:p>
    <w:p w:rsidR="00613F37" w:rsidRPr="00045E84" w:rsidRDefault="001C38A0">
      <w:pPr>
        <w:pStyle w:val="50"/>
        <w:framePr w:w="9941" w:h="8059" w:hRule="exact" w:wrap="around" w:vAnchor="page" w:hAnchor="page" w:x="1040" w:y="7092"/>
        <w:numPr>
          <w:ilvl w:val="0"/>
          <w:numId w:val="2"/>
        </w:numPr>
        <w:shd w:val="clear" w:color="auto" w:fill="auto"/>
        <w:ind w:left="20" w:right="20" w:firstLine="560"/>
        <w:rPr>
          <w:lang w:val="ru-RU"/>
        </w:rPr>
      </w:pPr>
      <w:r>
        <w:rPr>
          <w:lang w:val="uk-UA" w:eastAsia="uk-UA" w:bidi="uk-UA"/>
        </w:rPr>
        <w:t xml:space="preserve"> Сайт Європейського Форуму страховиків депозитів [Електронний ресурс] - Режим доступу: </w:t>
      </w:r>
      <w:hyperlink r:id="rId14" w:history="1">
        <w:r>
          <w:rPr>
            <w:rStyle w:val="a3"/>
          </w:rPr>
          <w:t>http</w:t>
        </w:r>
        <w:r w:rsidRPr="00045E84">
          <w:rPr>
            <w:rStyle w:val="a3"/>
            <w:lang w:val="ru-RU"/>
          </w:rPr>
          <w:t>://</w:t>
        </w:r>
        <w:r>
          <w:rPr>
            <w:rStyle w:val="a3"/>
          </w:rPr>
          <w:t>efdi</w:t>
        </w:r>
        <w:r w:rsidRPr="00045E84">
          <w:rPr>
            <w:rStyle w:val="a3"/>
            <w:lang w:val="ru-RU"/>
          </w:rPr>
          <w:t>.</w:t>
        </w:r>
        <w:r>
          <w:rPr>
            <w:rStyle w:val="a3"/>
          </w:rPr>
          <w:t>eu</w:t>
        </w:r>
        <w:r w:rsidRPr="00045E84">
          <w:rPr>
            <w:rStyle w:val="a3"/>
            <w:lang w:val="ru-RU"/>
          </w:rPr>
          <w:t>/</w:t>
        </w:r>
        <w:r>
          <w:rPr>
            <w:rStyle w:val="a3"/>
          </w:rPr>
          <w:t>index</w:t>
        </w:r>
        <w:r w:rsidRPr="00045E84">
          <w:rPr>
            <w:rStyle w:val="a3"/>
            <w:lang w:val="ru-RU"/>
          </w:rPr>
          <w:t>.</w:t>
        </w:r>
        <w:r>
          <w:rPr>
            <w:rStyle w:val="a3"/>
          </w:rPr>
          <w:t>php</w:t>
        </w:r>
        <w:r w:rsidRPr="00045E84">
          <w:rPr>
            <w:rStyle w:val="a3"/>
            <w:lang w:val="ru-RU"/>
          </w:rPr>
          <w:t>?</w:t>
        </w:r>
        <w:r>
          <w:rPr>
            <w:rStyle w:val="a3"/>
          </w:rPr>
          <w:t>id</w:t>
        </w:r>
        <w:r w:rsidRPr="00045E84">
          <w:rPr>
            <w:rStyle w:val="a3"/>
            <w:lang w:val="ru-RU"/>
          </w:rPr>
          <w:t>=2</w:t>
        </w:r>
      </w:hyperlink>
    </w:p>
    <w:p w:rsidR="00613F37" w:rsidRPr="00045E84" w:rsidRDefault="001C38A0">
      <w:pPr>
        <w:pStyle w:val="50"/>
        <w:framePr w:w="9941" w:h="8059" w:hRule="exact" w:wrap="around" w:vAnchor="page" w:hAnchor="page" w:x="1040" w:y="7092"/>
        <w:numPr>
          <w:ilvl w:val="0"/>
          <w:numId w:val="2"/>
        </w:numPr>
        <w:shd w:val="clear" w:color="auto" w:fill="auto"/>
        <w:ind w:left="20" w:right="20" w:firstLine="560"/>
        <w:rPr>
          <w:lang w:val="uk-UA"/>
        </w:rPr>
      </w:pPr>
      <w:r>
        <w:rPr>
          <w:lang w:val="uk-UA" w:eastAsia="uk-UA" w:bidi="uk-UA"/>
        </w:rPr>
        <w:t xml:space="preserve"> Сайт Міжнародної Асоціації страховиків депозитів [Електронний ресурс] - Режим доступу: </w:t>
      </w:r>
      <w:hyperlink r:id="rId15" w:history="1">
        <w:r>
          <w:rPr>
            <w:rStyle w:val="a3"/>
          </w:rPr>
          <w:t>http</w:t>
        </w:r>
        <w:r w:rsidRPr="00045E84">
          <w:rPr>
            <w:rStyle w:val="a3"/>
            <w:lang w:val="uk-UA"/>
          </w:rPr>
          <w:t>://</w:t>
        </w:r>
        <w:r>
          <w:rPr>
            <w:rStyle w:val="a3"/>
          </w:rPr>
          <w:t>www</w:t>
        </w:r>
      </w:hyperlink>
      <w:r w:rsidRPr="00045E84">
        <w:rPr>
          <w:lang w:val="uk-UA"/>
        </w:rPr>
        <w:t xml:space="preserve">. </w:t>
      </w:r>
      <w:r>
        <w:t>iadi</w:t>
      </w:r>
      <w:r w:rsidRPr="00045E84">
        <w:rPr>
          <w:lang w:val="uk-UA"/>
        </w:rPr>
        <w:t xml:space="preserve">. </w:t>
      </w:r>
      <w:r>
        <w:t>org</w:t>
      </w:r>
      <w:r w:rsidRPr="00045E84">
        <w:rPr>
          <w:lang w:val="uk-UA"/>
        </w:rPr>
        <w:t>/</w:t>
      </w:r>
      <w:r>
        <w:t>default</w:t>
      </w:r>
      <w:r w:rsidRPr="00045E84">
        <w:rPr>
          <w:lang w:val="uk-UA"/>
        </w:rPr>
        <w:t xml:space="preserve">. </w:t>
      </w:r>
      <w:r>
        <w:t>aspx</w:t>
      </w:r>
    </w:p>
    <w:p w:rsidR="00613F37" w:rsidRPr="00045E84" w:rsidRDefault="001C38A0">
      <w:pPr>
        <w:pStyle w:val="50"/>
        <w:framePr w:w="9941" w:h="8059" w:hRule="exact" w:wrap="around" w:vAnchor="page" w:hAnchor="page" w:x="1040" w:y="7092"/>
        <w:numPr>
          <w:ilvl w:val="0"/>
          <w:numId w:val="2"/>
        </w:numPr>
        <w:shd w:val="clear" w:color="auto" w:fill="auto"/>
        <w:ind w:left="20" w:right="20" w:firstLine="560"/>
        <w:rPr>
          <w:lang w:val="ru-RU"/>
        </w:rPr>
      </w:pPr>
      <w:r w:rsidRPr="00045E84">
        <w:rPr>
          <w:lang w:val="uk-UA"/>
        </w:rPr>
        <w:t xml:space="preserve"> </w:t>
      </w:r>
      <w:r>
        <w:rPr>
          <w:lang w:val="uk-UA" w:eastAsia="uk-UA" w:bidi="uk-UA"/>
        </w:rPr>
        <w:t>Сайт Федеральної корпорації страхув</w:t>
      </w:r>
      <w:r>
        <w:rPr>
          <w:lang w:val="uk-UA" w:eastAsia="uk-UA" w:bidi="uk-UA"/>
        </w:rPr>
        <w:t xml:space="preserve">ання депозитів [Електронний ресурс] - Режим доступу: </w:t>
      </w:r>
      <w:hyperlink r:id="rId16" w:history="1">
        <w:r>
          <w:rPr>
            <w:rStyle w:val="a3"/>
          </w:rPr>
          <w:t>https</w:t>
        </w:r>
        <w:r w:rsidRPr="00045E84">
          <w:rPr>
            <w:rStyle w:val="a3"/>
            <w:lang w:val="ru-RU"/>
          </w:rPr>
          <w:t>://</w:t>
        </w:r>
        <w:r>
          <w:rPr>
            <w:rStyle w:val="a3"/>
          </w:rPr>
          <w:t>www</w:t>
        </w:r>
        <w:r w:rsidRPr="00045E84">
          <w:rPr>
            <w:rStyle w:val="a3"/>
            <w:lang w:val="ru-RU"/>
          </w:rPr>
          <w:t>.</w:t>
        </w:r>
        <w:r>
          <w:rPr>
            <w:rStyle w:val="a3"/>
          </w:rPr>
          <w:t>fdic</w:t>
        </w:r>
        <w:r w:rsidRPr="00045E84">
          <w:rPr>
            <w:rStyle w:val="a3"/>
            <w:lang w:val="ru-RU"/>
          </w:rPr>
          <w:t>.</w:t>
        </w:r>
        <w:r>
          <w:rPr>
            <w:rStyle w:val="a3"/>
          </w:rPr>
          <w:t>gov</w:t>
        </w:r>
      </w:hyperlink>
    </w:p>
    <w:p w:rsidR="00613F37" w:rsidRDefault="001C38A0">
      <w:pPr>
        <w:pStyle w:val="50"/>
        <w:framePr w:w="9941" w:h="8059" w:hRule="exact" w:wrap="around" w:vAnchor="page" w:hAnchor="page" w:x="1040" w:y="7092"/>
        <w:numPr>
          <w:ilvl w:val="0"/>
          <w:numId w:val="2"/>
        </w:numPr>
        <w:shd w:val="clear" w:color="auto" w:fill="auto"/>
        <w:ind w:left="20" w:right="20" w:firstLine="560"/>
      </w:pPr>
      <w:r>
        <w:rPr>
          <w:lang w:val="uk-UA" w:eastAsia="uk-UA" w:bidi="uk-UA"/>
        </w:rPr>
        <w:t xml:space="preserve"> </w:t>
      </w:r>
      <w:r>
        <w:t>Asli Demirgtig-Kunt, Edward Kane, Luc Laeven “Deposit Insurance Around the World: A Comprehensive Analysis and Database ”, September 2015.</w:t>
      </w:r>
    </w:p>
    <w:p w:rsidR="00613F37" w:rsidRDefault="001C38A0">
      <w:pPr>
        <w:pStyle w:val="50"/>
        <w:framePr w:w="9941" w:h="8059" w:hRule="exact" w:wrap="around" w:vAnchor="page" w:hAnchor="page" w:x="1040" w:y="7092"/>
        <w:numPr>
          <w:ilvl w:val="0"/>
          <w:numId w:val="2"/>
        </w:numPr>
        <w:shd w:val="clear" w:color="auto" w:fill="auto"/>
        <w:tabs>
          <w:tab w:val="right" w:pos="3706"/>
          <w:tab w:val="left" w:pos="5175"/>
          <w:tab w:val="center" w:pos="7148"/>
          <w:tab w:val="right" w:pos="9918"/>
        </w:tabs>
        <w:ind w:left="20" w:right="20" w:firstLine="560"/>
      </w:pPr>
      <w:r>
        <w:t xml:space="preserve"> Asli Demirgtig-Kunt, Edward Kane, Luc Laeven “Deposit Insurance Database ”, July 2014 </w:t>
      </w:r>
      <w:r>
        <w:rPr>
          <w:lang w:val="uk-UA" w:eastAsia="uk-UA" w:bidi="uk-UA"/>
        </w:rPr>
        <w:t>[Електронний</w:t>
      </w:r>
      <w:r>
        <w:rPr>
          <w:lang w:val="uk-UA" w:eastAsia="uk-UA" w:bidi="uk-UA"/>
        </w:rPr>
        <w:tab/>
        <w:t>ресурс]</w:t>
      </w:r>
      <w:r>
        <w:rPr>
          <w:lang w:val="uk-UA" w:eastAsia="uk-UA" w:bidi="uk-UA"/>
        </w:rPr>
        <w:tab/>
      </w:r>
      <w:r>
        <w:t>-</w:t>
      </w:r>
      <w:r>
        <w:tab/>
      </w:r>
      <w:r>
        <w:rPr>
          <w:lang w:val="uk-UA" w:eastAsia="uk-UA" w:bidi="uk-UA"/>
        </w:rPr>
        <w:t>Режим</w:t>
      </w:r>
      <w:r>
        <w:rPr>
          <w:lang w:val="uk-UA" w:eastAsia="uk-UA" w:bidi="uk-UA"/>
        </w:rPr>
        <w:tab/>
        <w:t>доступу:</w:t>
      </w:r>
    </w:p>
    <w:p w:rsidR="00613F37" w:rsidRDefault="00613F37">
      <w:pPr>
        <w:pStyle w:val="50"/>
        <w:framePr w:w="9941" w:h="8059" w:hRule="exact" w:wrap="around" w:vAnchor="page" w:hAnchor="page" w:x="1040" w:y="7092"/>
        <w:shd w:val="clear" w:color="auto" w:fill="auto"/>
        <w:ind w:left="20"/>
        <w:jc w:val="left"/>
      </w:pPr>
      <w:hyperlink r:id="rId17" w:history="1">
        <w:r w:rsidR="001C38A0">
          <w:rPr>
            <w:rStyle w:val="a3"/>
          </w:rPr>
          <w:t>https://www.imf.org/external/pubs/ft/wp/2014/wp14118.pdf</w:t>
        </w:r>
      </w:hyperlink>
    </w:p>
    <w:p w:rsidR="00613F37" w:rsidRDefault="001C38A0">
      <w:pPr>
        <w:pStyle w:val="50"/>
        <w:framePr w:w="9941" w:h="8059" w:hRule="exact" w:wrap="around" w:vAnchor="page" w:hAnchor="page" w:x="1040" w:y="7092"/>
        <w:numPr>
          <w:ilvl w:val="0"/>
          <w:numId w:val="2"/>
        </w:numPr>
        <w:shd w:val="clear" w:color="auto" w:fill="auto"/>
        <w:tabs>
          <w:tab w:val="left" w:pos="1022"/>
        </w:tabs>
        <w:ind w:left="20" w:firstLine="560"/>
      </w:pPr>
      <w:r>
        <w:t>Dir</w:t>
      </w:r>
      <w:r>
        <w:t>ective 2014/49/EC of the European Parliament and of the Council of 16 April 2014 on</w:t>
      </w:r>
    </w:p>
    <w:p w:rsidR="00613F37" w:rsidRDefault="001C38A0">
      <w:pPr>
        <w:pStyle w:val="a7"/>
        <w:framePr w:wrap="around" w:vAnchor="page" w:hAnchor="page" w:x="1031" w:y="15624"/>
        <w:shd w:val="clear" w:color="auto" w:fill="auto"/>
        <w:spacing w:line="180" w:lineRule="exact"/>
        <w:ind w:left="20"/>
      </w:pPr>
      <w:r>
        <w:rPr>
          <w:lang w:val="en-US" w:eastAsia="en-US" w:bidi="en-US"/>
        </w:rPr>
        <w:t>44</w:t>
      </w:r>
    </w:p>
    <w:p w:rsidR="00613F37" w:rsidRDefault="00613F37">
      <w:pPr>
        <w:rPr>
          <w:sz w:val="2"/>
          <w:szCs w:val="2"/>
        </w:rPr>
        <w:sectPr w:rsidR="00613F37">
          <w:pgSz w:w="11909" w:h="16838"/>
          <w:pgMar w:top="0" w:right="0" w:bottom="0" w:left="0" w:header="0" w:footer="3" w:gutter="0"/>
          <w:cols w:space="720"/>
          <w:noEndnote/>
          <w:docGrid w:linePitch="360"/>
        </w:sectPr>
      </w:pPr>
    </w:p>
    <w:p w:rsidR="00613F37" w:rsidRDefault="001C38A0">
      <w:pPr>
        <w:pStyle w:val="50"/>
        <w:framePr w:w="9960" w:h="13858" w:hRule="exact" w:wrap="around" w:vAnchor="page" w:hAnchor="page" w:x="1031" w:y="1140"/>
        <w:shd w:val="clear" w:color="auto" w:fill="auto"/>
        <w:tabs>
          <w:tab w:val="left" w:pos="462"/>
        </w:tabs>
        <w:ind w:left="20"/>
      </w:pPr>
      <w:r>
        <w:lastRenderedPageBreak/>
        <w:t xml:space="preserve">deposit-guarantee schemes </w:t>
      </w:r>
      <w:r>
        <w:rPr>
          <w:lang w:val="uk-UA" w:eastAsia="uk-UA" w:bidi="uk-UA"/>
        </w:rPr>
        <w:t xml:space="preserve">[Електроннийресурс] </w:t>
      </w:r>
      <w:r>
        <w:t xml:space="preserve">- </w:t>
      </w:r>
      <w:r>
        <w:rPr>
          <w:lang w:val="uk-UA" w:eastAsia="uk-UA" w:bidi="uk-UA"/>
        </w:rPr>
        <w:t xml:space="preserve">Режим доступу: </w:t>
      </w:r>
      <w:hyperlink r:id="rId18" w:history="1">
        <w:r>
          <w:rPr>
            <w:rStyle w:val="a3"/>
          </w:rPr>
          <w:t>http://eur-lex.europa.eu/legal-</w:t>
        </w:r>
      </w:hyperlink>
      <w:r>
        <w:t xml:space="preserve"> content/EN/TXT/PDF/?uri=CELEX:32014L0049&amp;from=EN</w:t>
      </w:r>
    </w:p>
    <w:p w:rsidR="00613F37" w:rsidRDefault="001C38A0">
      <w:pPr>
        <w:pStyle w:val="50"/>
        <w:framePr w:w="9960" w:h="13858" w:hRule="exact" w:wrap="around" w:vAnchor="page" w:hAnchor="page" w:x="1031" w:y="1140"/>
        <w:numPr>
          <w:ilvl w:val="0"/>
          <w:numId w:val="2"/>
        </w:numPr>
        <w:shd w:val="clear" w:color="auto" w:fill="auto"/>
        <w:tabs>
          <w:tab w:val="center" w:pos="5236"/>
          <w:tab w:val="center" w:pos="5242"/>
          <w:tab w:val="center" w:pos="7151"/>
          <w:tab w:val="right" w:pos="9930"/>
        </w:tabs>
        <w:ind w:left="20" w:right="20" w:firstLine="580"/>
      </w:pPr>
      <w:r>
        <w:rPr>
          <w:lang w:val="uk-UA" w:eastAsia="uk-UA" w:bidi="uk-UA"/>
        </w:rPr>
        <w:t xml:space="preserve"> </w:t>
      </w:r>
      <w:r>
        <w:t xml:space="preserve">Financial Services Compensation Scheme Annual Report and Accounts </w:t>
      </w:r>
      <w:r>
        <w:rPr>
          <w:lang w:val="uk-UA" w:eastAsia="uk-UA" w:bidi="uk-UA"/>
        </w:rPr>
        <w:t>2014/15 [Електронний</w:t>
      </w:r>
      <w:r>
        <w:rPr>
          <w:lang w:val="uk-UA" w:eastAsia="uk-UA" w:bidi="uk-UA"/>
        </w:rPr>
        <w:tab/>
        <w:t>ресурс]</w:t>
      </w:r>
      <w:r>
        <w:rPr>
          <w:lang w:val="uk-UA" w:eastAsia="uk-UA" w:bidi="uk-UA"/>
        </w:rPr>
        <w:tab/>
      </w:r>
      <w:r>
        <w:t>-</w:t>
      </w:r>
      <w:r>
        <w:tab/>
      </w:r>
      <w:r>
        <w:rPr>
          <w:lang w:val="uk-UA" w:eastAsia="uk-UA" w:bidi="uk-UA"/>
        </w:rPr>
        <w:t>Режим</w:t>
      </w:r>
      <w:r>
        <w:rPr>
          <w:lang w:val="uk-UA" w:eastAsia="uk-UA" w:bidi="uk-UA"/>
        </w:rPr>
        <w:tab/>
        <w:t>доступу:</w:t>
      </w:r>
    </w:p>
    <w:p w:rsidR="00613F37" w:rsidRDefault="00613F37">
      <w:pPr>
        <w:pStyle w:val="50"/>
        <w:framePr w:w="9960" w:h="13858" w:hRule="exact" w:wrap="around" w:vAnchor="page" w:hAnchor="page" w:x="1031" w:y="1140"/>
        <w:shd w:val="clear" w:color="auto" w:fill="auto"/>
        <w:ind w:left="20"/>
      </w:pPr>
      <w:hyperlink r:id="rId19" w:history="1">
        <w:r w:rsidR="001C38A0">
          <w:rPr>
            <w:rStyle w:val="a3"/>
          </w:rPr>
          <w:t>http://www.fscs</w:t>
        </w:r>
      </w:hyperlink>
      <w:r w:rsidR="001C38A0">
        <w:t xml:space="preserve">. org. </w:t>
      </w:r>
      <w:r w:rsidR="001C38A0">
        <w:t>uk/globalassets/publications/fscs_arac_2015_final_lo_web_version.pdf</w:t>
      </w:r>
    </w:p>
    <w:p w:rsidR="00613F37" w:rsidRDefault="001C38A0">
      <w:pPr>
        <w:pStyle w:val="50"/>
        <w:framePr w:w="9960" w:h="13858" w:hRule="exact" w:wrap="around" w:vAnchor="page" w:hAnchor="page" w:x="1031" w:y="1140"/>
        <w:numPr>
          <w:ilvl w:val="0"/>
          <w:numId w:val="2"/>
        </w:numPr>
        <w:shd w:val="clear" w:color="auto" w:fill="auto"/>
        <w:tabs>
          <w:tab w:val="right" w:pos="9930"/>
        </w:tabs>
        <w:ind w:left="20" w:right="20" w:firstLine="580"/>
      </w:pPr>
      <w:r>
        <w:t xml:space="preserve"> Financial Stability Board «Thematic Review on Deposit Insurance Systems», 7 February 2012 </w:t>
      </w:r>
      <w:r>
        <w:rPr>
          <w:lang w:val="uk-UA" w:eastAsia="uk-UA" w:bidi="uk-UA"/>
        </w:rPr>
        <w:t xml:space="preserve">[Електронний ресурс] </w:t>
      </w:r>
      <w:r>
        <w:t xml:space="preserve">- </w:t>
      </w:r>
      <w:r>
        <w:rPr>
          <w:lang w:val="uk-UA" w:eastAsia="uk-UA" w:bidi="uk-UA"/>
        </w:rPr>
        <w:t>Режим доступу:</w:t>
      </w:r>
      <w:r>
        <w:rPr>
          <w:lang w:val="uk-UA" w:eastAsia="uk-UA" w:bidi="uk-UA"/>
        </w:rPr>
        <w:tab/>
      </w:r>
      <w:hyperlink r:id="rId20" w:history="1">
        <w:r>
          <w:rPr>
            <w:rStyle w:val="a3"/>
          </w:rPr>
          <w:t>http</w:t>
        </w:r>
        <w:r>
          <w:rPr>
            <w:rStyle w:val="a3"/>
          </w:rPr>
          <w:t>://www.financialstabilityboard.org/wp-</w:t>
        </w:r>
      </w:hyperlink>
      <w:r>
        <w:t xml:space="preserve"> content/uploads/r_120208.pdf?page_moved=1</w:t>
      </w:r>
    </w:p>
    <w:p w:rsidR="00613F37" w:rsidRDefault="001C38A0">
      <w:pPr>
        <w:pStyle w:val="50"/>
        <w:framePr w:w="9960" w:h="13858" w:hRule="exact" w:wrap="around" w:vAnchor="page" w:hAnchor="page" w:x="1031" w:y="1140"/>
        <w:numPr>
          <w:ilvl w:val="0"/>
          <w:numId w:val="2"/>
        </w:numPr>
        <w:shd w:val="clear" w:color="auto" w:fill="auto"/>
        <w:tabs>
          <w:tab w:val="right" w:pos="9930"/>
        </w:tabs>
        <w:ind w:left="20" w:right="20" w:firstLine="580"/>
      </w:pPr>
      <w:r>
        <w:rPr>
          <w:lang w:val="uk-UA" w:eastAsia="uk-UA" w:bidi="uk-UA"/>
        </w:rPr>
        <w:t xml:space="preserve"> </w:t>
      </w:r>
      <w:r>
        <w:t xml:space="preserve">FSCS announces final levy for </w:t>
      </w:r>
      <w:r>
        <w:rPr>
          <w:lang w:val="uk-UA" w:eastAsia="uk-UA" w:bidi="uk-UA"/>
        </w:rPr>
        <w:t xml:space="preserve">2015/16 </w:t>
      </w:r>
      <w:r>
        <w:t xml:space="preserve">at £319m </w:t>
      </w:r>
      <w:r>
        <w:rPr>
          <w:lang w:val="uk-UA" w:eastAsia="uk-UA" w:bidi="uk-UA"/>
        </w:rPr>
        <w:t xml:space="preserve">[Електронний ресурс] </w:t>
      </w:r>
      <w:r>
        <w:t xml:space="preserve">- </w:t>
      </w:r>
      <w:r>
        <w:rPr>
          <w:lang w:val="uk-UA" w:eastAsia="uk-UA" w:bidi="uk-UA"/>
        </w:rPr>
        <w:t>Режим доступу:</w:t>
      </w:r>
      <w:r>
        <w:rPr>
          <w:lang w:val="uk-UA" w:eastAsia="uk-UA" w:bidi="uk-UA"/>
        </w:rPr>
        <w:tab/>
      </w:r>
      <w:hyperlink r:id="rId21" w:history="1">
        <w:r>
          <w:rPr>
            <w:rStyle w:val="a3"/>
          </w:rPr>
          <w:t>http://www.fscs.org.uk/industry/news/2015/april/fscs-announces-final-levy-for-201516-at-</w:t>
        </w:r>
      </w:hyperlink>
      <w:r>
        <w:t xml:space="preserve"> 319m/</w:t>
      </w:r>
    </w:p>
    <w:p w:rsidR="00613F37" w:rsidRDefault="001C38A0">
      <w:pPr>
        <w:pStyle w:val="50"/>
        <w:framePr w:w="9960" w:h="13858" w:hRule="exact" w:wrap="around" w:vAnchor="page" w:hAnchor="page" w:x="1031" w:y="1140"/>
        <w:numPr>
          <w:ilvl w:val="0"/>
          <w:numId w:val="2"/>
        </w:numPr>
        <w:shd w:val="clear" w:color="auto" w:fill="auto"/>
        <w:tabs>
          <w:tab w:val="left" w:pos="1449"/>
          <w:tab w:val="left" w:pos="3500"/>
          <w:tab w:val="left" w:pos="3946"/>
          <w:tab w:val="left" w:pos="4631"/>
          <w:tab w:val="left" w:pos="7449"/>
          <w:tab w:val="right" w:pos="9930"/>
        </w:tabs>
        <w:ind w:left="20" w:right="20" w:firstLine="580"/>
      </w:pPr>
      <w:r>
        <w:t xml:space="preserve"> IADI Core Principles for Effective Deposit Insurance Systems / International Association of Deposit</w:t>
      </w:r>
      <w:r>
        <w:tab/>
        <w:t>Insurers (IADI)</w:t>
      </w:r>
      <w:r>
        <w:tab/>
        <w:t>-</w:t>
      </w:r>
      <w:r>
        <w:tab/>
        <w:t>2014</w:t>
      </w:r>
      <w:r>
        <w:tab/>
      </w:r>
      <w:r>
        <w:rPr>
          <w:lang w:val="uk-UA" w:eastAsia="uk-UA" w:bidi="uk-UA"/>
        </w:rPr>
        <w:t>[Електронний ресурс]</w:t>
      </w:r>
      <w:r>
        <w:rPr>
          <w:lang w:val="uk-UA" w:eastAsia="uk-UA" w:bidi="uk-UA"/>
        </w:rPr>
        <w:t>.</w:t>
      </w:r>
      <w:r>
        <w:rPr>
          <w:lang w:val="uk-UA" w:eastAsia="uk-UA" w:bidi="uk-UA"/>
        </w:rPr>
        <w:tab/>
      </w:r>
      <w:r>
        <w:t xml:space="preserve">- </w:t>
      </w:r>
      <w:r>
        <w:rPr>
          <w:lang w:val="uk-UA" w:eastAsia="uk-UA" w:bidi="uk-UA"/>
        </w:rPr>
        <w:t>Режим</w:t>
      </w:r>
      <w:r>
        <w:rPr>
          <w:lang w:val="uk-UA" w:eastAsia="uk-UA" w:bidi="uk-UA"/>
        </w:rPr>
        <w:tab/>
        <w:t>доступу:</w:t>
      </w:r>
    </w:p>
    <w:p w:rsidR="00613F37" w:rsidRDefault="00613F37">
      <w:pPr>
        <w:pStyle w:val="50"/>
        <w:framePr w:w="9960" w:h="13858" w:hRule="exact" w:wrap="around" w:vAnchor="page" w:hAnchor="page" w:x="1031" w:y="1140"/>
        <w:shd w:val="clear" w:color="auto" w:fill="auto"/>
        <w:ind w:left="20"/>
      </w:pPr>
      <w:hyperlink r:id="rId22" w:history="1">
        <w:r w:rsidR="001C38A0">
          <w:rPr>
            <w:rStyle w:val="a3"/>
          </w:rPr>
          <w:t>http://www</w:t>
        </w:r>
      </w:hyperlink>
      <w:r w:rsidR="001C38A0">
        <w:t>. iadi. org/docs/cprevised2014nov.pdf</w:t>
      </w:r>
    </w:p>
    <w:p w:rsidR="00613F37" w:rsidRDefault="001C38A0">
      <w:pPr>
        <w:pStyle w:val="50"/>
        <w:framePr w:w="9960" w:h="13858" w:hRule="exact" w:wrap="around" w:vAnchor="page" w:hAnchor="page" w:x="1031" w:y="1140"/>
        <w:numPr>
          <w:ilvl w:val="0"/>
          <w:numId w:val="2"/>
        </w:numPr>
        <w:shd w:val="clear" w:color="auto" w:fill="auto"/>
        <w:tabs>
          <w:tab w:val="left" w:pos="1371"/>
          <w:tab w:val="center" w:pos="3337"/>
          <w:tab w:val="right" w:pos="5633"/>
          <w:tab w:val="right" w:pos="6615"/>
          <w:tab w:val="left" w:pos="7443"/>
          <w:tab w:val="right" w:pos="9930"/>
        </w:tabs>
        <w:ind w:left="20" w:right="20" w:firstLine="580"/>
      </w:pPr>
      <w:r>
        <w:t xml:space="preserve"> International Association of Deposit Insurers “Funding of Deposit Insurance Systems”, May</w:t>
      </w:r>
      <w:r>
        <w:tab/>
        <w:t>2009</w:t>
      </w:r>
      <w:r>
        <w:tab/>
      </w:r>
      <w:r>
        <w:rPr>
          <w:lang w:val="uk-UA" w:eastAsia="uk-UA" w:bidi="uk-UA"/>
        </w:rPr>
        <w:t>[Електронний</w:t>
      </w:r>
      <w:r>
        <w:rPr>
          <w:lang w:val="uk-UA" w:eastAsia="uk-UA" w:bidi="uk-UA"/>
        </w:rPr>
        <w:tab/>
        <w:t>ресурс]</w:t>
      </w:r>
      <w:r>
        <w:rPr>
          <w:lang w:val="uk-UA" w:eastAsia="uk-UA" w:bidi="uk-UA"/>
        </w:rPr>
        <w:tab/>
      </w:r>
      <w:r>
        <w:t>-</w:t>
      </w:r>
      <w:r>
        <w:tab/>
      </w:r>
      <w:r>
        <w:rPr>
          <w:lang w:val="uk-UA" w:eastAsia="uk-UA" w:bidi="uk-UA"/>
        </w:rPr>
        <w:t>Режим</w:t>
      </w:r>
      <w:r>
        <w:rPr>
          <w:lang w:val="uk-UA" w:eastAsia="uk-UA" w:bidi="uk-UA"/>
        </w:rPr>
        <w:tab/>
        <w:t>доступу:</w:t>
      </w:r>
    </w:p>
    <w:p w:rsidR="00613F37" w:rsidRDefault="00613F37">
      <w:pPr>
        <w:pStyle w:val="50"/>
        <w:framePr w:w="9960" w:h="13858" w:hRule="exact" w:wrap="around" w:vAnchor="page" w:hAnchor="page" w:x="1031" w:y="1140"/>
        <w:shd w:val="clear" w:color="auto" w:fill="auto"/>
        <w:spacing w:after="240"/>
        <w:ind w:left="20"/>
      </w:pPr>
      <w:hyperlink r:id="rId23" w:history="1">
        <w:r w:rsidR="001C38A0">
          <w:rPr>
            <w:rStyle w:val="a3"/>
          </w:rPr>
          <w:t>http://www</w:t>
        </w:r>
      </w:hyperlink>
      <w:r w:rsidR="001C38A0">
        <w:t>. iadi. org/docs/funding%20final %20guidance %20paper %206_may_2009.pdf</w:t>
      </w:r>
    </w:p>
    <w:p w:rsidR="00613F37" w:rsidRDefault="001C38A0">
      <w:pPr>
        <w:pStyle w:val="22"/>
        <w:framePr w:w="9960" w:h="13858" w:hRule="exact" w:wrap="around" w:vAnchor="page" w:hAnchor="page" w:x="1031" w:y="1140"/>
        <w:shd w:val="clear" w:color="auto" w:fill="auto"/>
        <w:spacing w:before="0"/>
        <w:ind w:left="4720"/>
      </w:pPr>
      <w:bookmarkStart w:id="2" w:name="bookmark2"/>
      <w:r>
        <w:rPr>
          <w:lang w:val="en-US" w:eastAsia="en-US" w:bidi="en-US"/>
        </w:rPr>
        <w:t>References</w:t>
      </w:r>
      <w:bookmarkEnd w:id="2"/>
    </w:p>
    <w:p w:rsidR="00613F37" w:rsidRDefault="001C38A0">
      <w:pPr>
        <w:pStyle w:val="50"/>
        <w:framePr w:w="9960" w:h="13858" w:hRule="exact" w:wrap="around" w:vAnchor="page" w:hAnchor="page" w:x="1031" w:y="1140"/>
        <w:numPr>
          <w:ilvl w:val="0"/>
          <w:numId w:val="3"/>
        </w:numPr>
        <w:shd w:val="clear" w:color="auto" w:fill="auto"/>
        <w:tabs>
          <w:tab w:val="left" w:pos="1371"/>
          <w:tab w:val="left" w:pos="3566"/>
          <w:tab w:val="left" w:pos="4614"/>
          <w:tab w:val="left" w:pos="5305"/>
          <w:tab w:val="left" w:pos="7443"/>
          <w:tab w:val="right" w:pos="9930"/>
        </w:tabs>
        <w:ind w:left="20" w:right="20" w:firstLine="580"/>
      </w:pPr>
      <w:r>
        <w:t xml:space="preserve"> Law of Ukraine "On the system of guaranteeing deposits of individuals", adopted on 23.02.2012,</w:t>
      </w:r>
      <w:r>
        <w:tab/>
        <w:t>the edition of</w:t>
      </w:r>
      <w:r>
        <w:tab/>
        <w:t>August</w:t>
      </w:r>
      <w:r>
        <w:tab/>
        <w:t>12,</w:t>
      </w:r>
      <w:r>
        <w:tab/>
        <w:t>2015 [electronic</w:t>
      </w:r>
      <w:r>
        <w:tab/>
        <w:t>resource] -</w:t>
      </w:r>
      <w:r>
        <w:tab/>
        <w:t>Access:</w:t>
      </w:r>
    </w:p>
    <w:p w:rsidR="00613F37" w:rsidRDefault="00613F37">
      <w:pPr>
        <w:pStyle w:val="50"/>
        <w:framePr w:w="9960" w:h="13858" w:hRule="exact" w:wrap="around" w:vAnchor="page" w:hAnchor="page" w:x="1031" w:y="1140"/>
        <w:shd w:val="clear" w:color="auto" w:fill="auto"/>
        <w:ind w:left="20"/>
      </w:pPr>
      <w:hyperlink r:id="rId24" w:history="1">
        <w:r w:rsidR="001C38A0">
          <w:rPr>
            <w:rStyle w:val="a3"/>
          </w:rPr>
          <w:t>http://zakon2</w:t>
        </w:r>
      </w:hyperlink>
      <w:r w:rsidR="001C38A0">
        <w:t>. rada.gov. ua/laws/show/ 4452-17</w:t>
      </w:r>
    </w:p>
    <w:p w:rsidR="00613F37" w:rsidRDefault="001C38A0">
      <w:pPr>
        <w:pStyle w:val="50"/>
        <w:framePr w:w="9960" w:h="13858" w:hRule="exact" w:wrap="around" w:vAnchor="page" w:hAnchor="page" w:x="1031" w:y="1140"/>
        <w:numPr>
          <w:ilvl w:val="0"/>
          <w:numId w:val="3"/>
        </w:numPr>
        <w:shd w:val="clear" w:color="auto" w:fill="auto"/>
        <w:ind w:left="20" w:right="20" w:firstLine="580"/>
      </w:pPr>
      <w:r>
        <w:t xml:space="preserve"> The site of the European Forum of Deposit Insurers [electronic resource] - Access: </w:t>
      </w:r>
      <w:hyperlink r:id="rId25" w:history="1">
        <w:r>
          <w:rPr>
            <w:rStyle w:val="a3"/>
          </w:rPr>
          <w:t>http://efdi</w:t>
        </w:r>
      </w:hyperlink>
      <w:r>
        <w:t>. eu/index.php?id=2</w:t>
      </w:r>
    </w:p>
    <w:p w:rsidR="00613F37" w:rsidRDefault="001C38A0">
      <w:pPr>
        <w:pStyle w:val="50"/>
        <w:framePr w:w="9960" w:h="13858" w:hRule="exact" w:wrap="around" w:vAnchor="page" w:hAnchor="page" w:x="1031" w:y="1140"/>
        <w:numPr>
          <w:ilvl w:val="0"/>
          <w:numId w:val="3"/>
        </w:numPr>
        <w:shd w:val="clear" w:color="auto" w:fill="auto"/>
        <w:ind w:left="20" w:right="20" w:firstLine="580"/>
      </w:pPr>
      <w:r>
        <w:t xml:space="preserve"> The site of the International Association of Deposit Insurers [electronic resource] - Access: </w:t>
      </w:r>
      <w:hyperlink r:id="rId26" w:history="1">
        <w:r>
          <w:rPr>
            <w:rStyle w:val="a3"/>
          </w:rPr>
          <w:t>http://www</w:t>
        </w:r>
      </w:hyperlink>
      <w:r>
        <w:t>. iadi. org/default. aspx</w:t>
      </w:r>
    </w:p>
    <w:p w:rsidR="00613F37" w:rsidRDefault="001C38A0">
      <w:pPr>
        <w:pStyle w:val="50"/>
        <w:framePr w:w="9960" w:h="13858" w:hRule="exact" w:wrap="around" w:vAnchor="page" w:hAnchor="page" w:x="1031" w:y="1140"/>
        <w:numPr>
          <w:ilvl w:val="0"/>
          <w:numId w:val="3"/>
        </w:numPr>
        <w:shd w:val="clear" w:color="auto" w:fill="auto"/>
        <w:ind w:left="20" w:right="20" w:firstLine="580"/>
      </w:pPr>
      <w:r>
        <w:t xml:space="preserve"> The site of the Federal Deposit Insurance Corporation [electronic resource] - Access: </w:t>
      </w:r>
      <w:hyperlink r:id="rId27" w:history="1">
        <w:r>
          <w:rPr>
            <w:rStyle w:val="a3"/>
          </w:rPr>
          <w:t>https://www.fdic.gov</w:t>
        </w:r>
      </w:hyperlink>
    </w:p>
    <w:p w:rsidR="00613F37" w:rsidRDefault="001C38A0">
      <w:pPr>
        <w:pStyle w:val="50"/>
        <w:framePr w:w="9960" w:h="13858" w:hRule="exact" w:wrap="around" w:vAnchor="page" w:hAnchor="page" w:x="1031" w:y="1140"/>
        <w:numPr>
          <w:ilvl w:val="0"/>
          <w:numId w:val="3"/>
        </w:numPr>
        <w:shd w:val="clear" w:color="auto" w:fill="auto"/>
        <w:ind w:left="20" w:right="20" w:firstLine="580"/>
      </w:pPr>
      <w:r>
        <w:t xml:space="preserve"> Asli Demirgtig-Kunt, Edward Kane, Luc Laeven “Deposit Insurance Around the World: A Comprehensive Analysis and Database ”, September 2015.</w:t>
      </w:r>
    </w:p>
    <w:p w:rsidR="00613F37" w:rsidRDefault="001C38A0">
      <w:pPr>
        <w:pStyle w:val="50"/>
        <w:framePr w:w="9960" w:h="13858" w:hRule="exact" w:wrap="around" w:vAnchor="page" w:hAnchor="page" w:x="1031" w:y="1140"/>
        <w:numPr>
          <w:ilvl w:val="0"/>
          <w:numId w:val="3"/>
        </w:numPr>
        <w:shd w:val="clear" w:color="auto" w:fill="auto"/>
        <w:tabs>
          <w:tab w:val="right" w:pos="3759"/>
          <w:tab w:val="center" w:pos="5236"/>
          <w:tab w:val="center" w:pos="7151"/>
          <w:tab w:val="right" w:pos="9930"/>
        </w:tabs>
        <w:ind w:left="20" w:right="20" w:firstLine="580"/>
      </w:pPr>
      <w:r>
        <w:t xml:space="preserve"> Asli Demirgtig-Kunt, Edward Kane, Luc Laeven “Deposit Insurance Database</w:t>
      </w:r>
      <w:r>
        <w:t xml:space="preserve"> ”, July 2014 </w:t>
      </w:r>
      <w:r>
        <w:rPr>
          <w:lang w:val="uk-UA" w:eastAsia="uk-UA" w:bidi="uk-UA"/>
        </w:rPr>
        <w:t>[Електронний</w:t>
      </w:r>
      <w:r>
        <w:rPr>
          <w:lang w:val="uk-UA" w:eastAsia="uk-UA" w:bidi="uk-UA"/>
        </w:rPr>
        <w:tab/>
        <w:t>ресурс]</w:t>
      </w:r>
      <w:r>
        <w:rPr>
          <w:lang w:val="uk-UA" w:eastAsia="uk-UA" w:bidi="uk-UA"/>
        </w:rPr>
        <w:tab/>
      </w:r>
      <w:r>
        <w:t>-</w:t>
      </w:r>
      <w:r>
        <w:tab/>
      </w:r>
      <w:r>
        <w:rPr>
          <w:lang w:val="uk-UA" w:eastAsia="uk-UA" w:bidi="uk-UA"/>
        </w:rPr>
        <w:t>Режим</w:t>
      </w:r>
      <w:r>
        <w:rPr>
          <w:lang w:val="uk-UA" w:eastAsia="uk-UA" w:bidi="uk-UA"/>
        </w:rPr>
        <w:tab/>
        <w:t>доступу:</w:t>
      </w:r>
    </w:p>
    <w:p w:rsidR="00613F37" w:rsidRDefault="00613F37">
      <w:pPr>
        <w:pStyle w:val="50"/>
        <w:framePr w:w="9960" w:h="13858" w:hRule="exact" w:wrap="around" w:vAnchor="page" w:hAnchor="page" w:x="1031" w:y="1140"/>
        <w:shd w:val="clear" w:color="auto" w:fill="auto"/>
        <w:ind w:left="20"/>
      </w:pPr>
      <w:hyperlink r:id="rId28" w:history="1">
        <w:r w:rsidR="001C38A0">
          <w:rPr>
            <w:rStyle w:val="a3"/>
          </w:rPr>
          <w:t>https://www.imf.org/external/pubs/ft/wp/2014/wp14118.pdf</w:t>
        </w:r>
      </w:hyperlink>
    </w:p>
    <w:p w:rsidR="00613F37" w:rsidRDefault="001C38A0">
      <w:pPr>
        <w:pStyle w:val="50"/>
        <w:framePr w:w="9960" w:h="13858" w:hRule="exact" w:wrap="around" w:vAnchor="page" w:hAnchor="page" w:x="1031" w:y="1140"/>
        <w:numPr>
          <w:ilvl w:val="0"/>
          <w:numId w:val="3"/>
        </w:numPr>
        <w:shd w:val="clear" w:color="auto" w:fill="auto"/>
        <w:ind w:left="20" w:right="20" w:firstLine="580"/>
      </w:pPr>
      <w:r>
        <w:t xml:space="preserve"> Directive 2014/49/EC of the European Parliament and of the Council of 16 Ap</w:t>
      </w:r>
      <w:r>
        <w:t xml:space="preserve">ril 2014 on deposit-guarantee schemes </w:t>
      </w:r>
      <w:r>
        <w:rPr>
          <w:lang w:val="uk-UA" w:eastAsia="uk-UA" w:bidi="uk-UA"/>
        </w:rPr>
        <w:t xml:space="preserve">[Електроннийресурс] </w:t>
      </w:r>
      <w:r>
        <w:t xml:space="preserve">- </w:t>
      </w:r>
      <w:r>
        <w:rPr>
          <w:lang w:val="uk-UA" w:eastAsia="uk-UA" w:bidi="uk-UA"/>
        </w:rPr>
        <w:t xml:space="preserve">Режим доступу: </w:t>
      </w:r>
      <w:hyperlink r:id="rId29" w:history="1">
        <w:r>
          <w:rPr>
            <w:rStyle w:val="a3"/>
          </w:rPr>
          <w:t>http://eur-lex.europa.eu/legal-</w:t>
        </w:r>
      </w:hyperlink>
      <w:r>
        <w:t xml:space="preserve"> content/EN/TXT/PDF/?uri=CELEX:32014L0049&amp;from=EN</w:t>
      </w:r>
    </w:p>
    <w:p w:rsidR="00613F37" w:rsidRDefault="001C38A0">
      <w:pPr>
        <w:pStyle w:val="50"/>
        <w:framePr w:w="9960" w:h="13858" w:hRule="exact" w:wrap="around" w:vAnchor="page" w:hAnchor="page" w:x="1031" w:y="1140"/>
        <w:numPr>
          <w:ilvl w:val="0"/>
          <w:numId w:val="3"/>
        </w:numPr>
        <w:shd w:val="clear" w:color="auto" w:fill="auto"/>
        <w:tabs>
          <w:tab w:val="right" w:pos="9930"/>
        </w:tabs>
        <w:ind w:left="20" w:firstLine="580"/>
      </w:pPr>
      <w:r>
        <w:rPr>
          <w:lang w:val="uk-UA" w:eastAsia="uk-UA" w:bidi="uk-UA"/>
        </w:rPr>
        <w:t xml:space="preserve"> </w:t>
      </w:r>
      <w:r>
        <w:t>Financial</w:t>
      </w:r>
      <w:r>
        <w:tab/>
        <w:t xml:space="preserve">Services Compensation Scheme Annual Report </w:t>
      </w:r>
      <w:r>
        <w:t xml:space="preserve">and Accounts </w:t>
      </w:r>
      <w:r>
        <w:rPr>
          <w:lang w:val="uk-UA" w:eastAsia="uk-UA" w:bidi="uk-UA"/>
        </w:rPr>
        <w:t>2014/15</w:t>
      </w:r>
    </w:p>
    <w:p w:rsidR="00613F37" w:rsidRDefault="001C38A0">
      <w:pPr>
        <w:pStyle w:val="50"/>
        <w:framePr w:w="9960" w:h="13858" w:hRule="exact" w:wrap="around" w:vAnchor="page" w:hAnchor="page" w:x="1031" w:y="1140"/>
        <w:shd w:val="clear" w:color="auto" w:fill="auto"/>
        <w:tabs>
          <w:tab w:val="right" w:pos="3759"/>
          <w:tab w:val="center" w:pos="5236"/>
          <w:tab w:val="center" w:pos="7151"/>
          <w:tab w:val="right" w:pos="9930"/>
        </w:tabs>
        <w:ind w:left="20"/>
      </w:pPr>
      <w:r>
        <w:rPr>
          <w:lang w:val="uk-UA" w:eastAsia="uk-UA" w:bidi="uk-UA"/>
        </w:rPr>
        <w:t>[Електронний</w:t>
      </w:r>
      <w:r>
        <w:rPr>
          <w:lang w:val="uk-UA" w:eastAsia="uk-UA" w:bidi="uk-UA"/>
        </w:rPr>
        <w:tab/>
        <w:t>ресурс]</w:t>
      </w:r>
      <w:r>
        <w:rPr>
          <w:lang w:val="uk-UA" w:eastAsia="uk-UA" w:bidi="uk-UA"/>
        </w:rPr>
        <w:tab/>
      </w:r>
      <w:r>
        <w:t>-</w:t>
      </w:r>
      <w:r>
        <w:tab/>
      </w:r>
      <w:r>
        <w:rPr>
          <w:lang w:val="uk-UA" w:eastAsia="uk-UA" w:bidi="uk-UA"/>
        </w:rPr>
        <w:t>Режим</w:t>
      </w:r>
      <w:r>
        <w:rPr>
          <w:lang w:val="uk-UA" w:eastAsia="uk-UA" w:bidi="uk-UA"/>
        </w:rPr>
        <w:tab/>
        <w:t>доступу:</w:t>
      </w:r>
    </w:p>
    <w:p w:rsidR="00613F37" w:rsidRDefault="00613F37">
      <w:pPr>
        <w:pStyle w:val="50"/>
        <w:framePr w:w="9960" w:h="13858" w:hRule="exact" w:wrap="around" w:vAnchor="page" w:hAnchor="page" w:x="1031" w:y="1140"/>
        <w:shd w:val="clear" w:color="auto" w:fill="auto"/>
        <w:ind w:left="20"/>
      </w:pPr>
      <w:hyperlink r:id="rId30" w:history="1">
        <w:r w:rsidR="001C38A0">
          <w:rPr>
            <w:rStyle w:val="a3"/>
          </w:rPr>
          <w:t>http://www.fscs</w:t>
        </w:r>
      </w:hyperlink>
      <w:r w:rsidR="001C38A0">
        <w:t>. org. uk/globalassets/publications/fscs_arac_2015_final_lo_web_version.pdf</w:t>
      </w:r>
    </w:p>
    <w:p w:rsidR="00613F37" w:rsidRDefault="001C38A0">
      <w:pPr>
        <w:pStyle w:val="50"/>
        <w:framePr w:w="9960" w:h="13858" w:hRule="exact" w:wrap="around" w:vAnchor="page" w:hAnchor="page" w:x="1031" w:y="1140"/>
        <w:numPr>
          <w:ilvl w:val="0"/>
          <w:numId w:val="3"/>
        </w:numPr>
        <w:shd w:val="clear" w:color="auto" w:fill="auto"/>
        <w:tabs>
          <w:tab w:val="right" w:pos="2223"/>
          <w:tab w:val="right" w:pos="9930"/>
          <w:tab w:val="right" w:pos="9932"/>
        </w:tabs>
        <w:ind w:left="20" w:right="20" w:firstLine="580"/>
      </w:pPr>
      <w:r>
        <w:t xml:space="preserve"> Financial Stability Board «Thematic Review on Deposit Insurance Systems», 7 February 2012</w:t>
      </w:r>
      <w:r>
        <w:tab/>
      </w:r>
      <w:r>
        <w:rPr>
          <w:lang w:val="uk-UA" w:eastAsia="uk-UA" w:bidi="uk-UA"/>
        </w:rPr>
        <w:t>[Електронний</w:t>
      </w:r>
      <w:r>
        <w:rPr>
          <w:lang w:val="uk-UA" w:eastAsia="uk-UA" w:bidi="uk-UA"/>
        </w:rPr>
        <w:tab/>
        <w:t xml:space="preserve">ресурс] </w:t>
      </w:r>
      <w:r>
        <w:t xml:space="preserve">- </w:t>
      </w:r>
      <w:r>
        <w:rPr>
          <w:lang w:val="uk-UA" w:eastAsia="uk-UA" w:bidi="uk-UA"/>
        </w:rPr>
        <w:t>Режим доступу:</w:t>
      </w:r>
      <w:r>
        <w:rPr>
          <w:lang w:val="uk-UA" w:eastAsia="uk-UA" w:bidi="uk-UA"/>
        </w:rPr>
        <w:tab/>
      </w:r>
      <w:hyperlink r:id="rId31" w:history="1">
        <w:r>
          <w:rPr>
            <w:rStyle w:val="a3"/>
          </w:rPr>
          <w:t>http://www.financialstabilityboard.org/wp-</w:t>
        </w:r>
      </w:hyperlink>
    </w:p>
    <w:p w:rsidR="00613F37" w:rsidRDefault="001C38A0">
      <w:pPr>
        <w:pStyle w:val="50"/>
        <w:framePr w:w="9960" w:h="13858" w:hRule="exact" w:wrap="around" w:vAnchor="page" w:hAnchor="page" w:x="1031" w:y="1140"/>
        <w:shd w:val="clear" w:color="auto" w:fill="auto"/>
        <w:ind w:left="20"/>
      </w:pPr>
      <w:r>
        <w:t>content/uploads/r_120208.pd</w:t>
      </w:r>
      <w:r>
        <w:t>f?page_moved=1</w:t>
      </w:r>
    </w:p>
    <w:p w:rsidR="00613F37" w:rsidRDefault="001C38A0">
      <w:pPr>
        <w:pStyle w:val="50"/>
        <w:framePr w:w="9960" w:h="13858" w:hRule="exact" w:wrap="around" w:vAnchor="page" w:hAnchor="page" w:x="1031" w:y="1140"/>
        <w:numPr>
          <w:ilvl w:val="0"/>
          <w:numId w:val="3"/>
        </w:numPr>
        <w:shd w:val="clear" w:color="auto" w:fill="auto"/>
        <w:ind w:left="20" w:right="20" w:firstLine="580"/>
      </w:pPr>
      <w:r>
        <w:rPr>
          <w:lang w:val="uk-UA" w:eastAsia="uk-UA" w:bidi="uk-UA"/>
        </w:rPr>
        <w:t xml:space="preserve"> </w:t>
      </w:r>
      <w:r>
        <w:t xml:space="preserve">FSCS announces final levy for </w:t>
      </w:r>
      <w:r>
        <w:rPr>
          <w:lang w:val="uk-UA" w:eastAsia="uk-UA" w:bidi="uk-UA"/>
        </w:rPr>
        <w:t xml:space="preserve">2015/16 </w:t>
      </w:r>
      <w:r>
        <w:t xml:space="preserve">at £319m </w:t>
      </w:r>
      <w:r>
        <w:rPr>
          <w:lang w:val="uk-UA" w:eastAsia="uk-UA" w:bidi="uk-UA"/>
        </w:rPr>
        <w:t xml:space="preserve">[Електронний ресурс] </w:t>
      </w:r>
      <w:r>
        <w:t xml:space="preserve">- </w:t>
      </w:r>
      <w:r>
        <w:rPr>
          <w:lang w:val="uk-UA" w:eastAsia="uk-UA" w:bidi="uk-UA"/>
        </w:rPr>
        <w:t xml:space="preserve">Режим доступу: </w:t>
      </w:r>
      <w:hyperlink r:id="rId32" w:history="1">
        <w:r>
          <w:rPr>
            <w:rStyle w:val="a3"/>
          </w:rPr>
          <w:t>http://www.fscs.org.uk/industry/news/2015/april/fscs-announces-final-levy-201516-at-319m/</w:t>
        </w:r>
      </w:hyperlink>
    </w:p>
    <w:p w:rsidR="00613F37" w:rsidRDefault="001C38A0">
      <w:pPr>
        <w:pStyle w:val="50"/>
        <w:framePr w:w="9960" w:h="13858" w:hRule="exact" w:wrap="around" w:vAnchor="page" w:hAnchor="page" w:x="1031" w:y="1140"/>
        <w:numPr>
          <w:ilvl w:val="0"/>
          <w:numId w:val="3"/>
        </w:numPr>
        <w:shd w:val="clear" w:color="auto" w:fill="auto"/>
        <w:tabs>
          <w:tab w:val="right" w:pos="9930"/>
        </w:tabs>
        <w:ind w:left="20" w:firstLine="580"/>
      </w:pPr>
      <w:r>
        <w:rPr>
          <w:lang w:val="uk-UA" w:eastAsia="uk-UA" w:bidi="uk-UA"/>
        </w:rPr>
        <w:t xml:space="preserve"> </w:t>
      </w:r>
      <w:r>
        <w:t>IADI Core</w:t>
      </w:r>
      <w:r>
        <w:tab/>
        <w:t xml:space="preserve">Principles for Effective Deposit Insurance Systems </w:t>
      </w:r>
      <w:r>
        <w:rPr>
          <w:lang w:val="uk-UA" w:eastAsia="uk-UA" w:bidi="uk-UA"/>
        </w:rPr>
        <w:t xml:space="preserve">/ </w:t>
      </w:r>
      <w:r>
        <w:t>International Association</w:t>
      </w:r>
    </w:p>
    <w:p w:rsidR="00613F37" w:rsidRDefault="001C38A0">
      <w:pPr>
        <w:pStyle w:val="50"/>
        <w:framePr w:w="9960" w:h="13858" w:hRule="exact" w:wrap="around" w:vAnchor="page" w:hAnchor="page" w:x="1031" w:y="1140"/>
        <w:shd w:val="clear" w:color="auto" w:fill="auto"/>
        <w:tabs>
          <w:tab w:val="center" w:pos="495"/>
          <w:tab w:val="left" w:pos="3946"/>
        </w:tabs>
        <w:ind w:left="20"/>
      </w:pPr>
      <w:r>
        <w:t>of</w:t>
      </w:r>
      <w:r>
        <w:tab/>
        <w:t xml:space="preserve">Deposit Insurers (IADI) </w:t>
      </w:r>
      <w:r>
        <w:rPr>
          <w:lang w:val="uk-UA" w:eastAsia="uk-UA" w:bidi="uk-UA"/>
        </w:rPr>
        <w:t>-</w:t>
      </w:r>
      <w:r>
        <w:rPr>
          <w:lang w:val="uk-UA" w:eastAsia="uk-UA" w:bidi="uk-UA"/>
        </w:rPr>
        <w:tab/>
        <w:t>2014 [Електронний ресурс]. - Режим доступу:</w:t>
      </w:r>
    </w:p>
    <w:p w:rsidR="00613F37" w:rsidRDefault="00613F37">
      <w:pPr>
        <w:pStyle w:val="50"/>
        <w:framePr w:w="9960" w:h="13858" w:hRule="exact" w:wrap="around" w:vAnchor="page" w:hAnchor="page" w:x="1031" w:y="1140"/>
        <w:shd w:val="clear" w:color="auto" w:fill="auto"/>
        <w:ind w:left="20"/>
      </w:pPr>
      <w:hyperlink r:id="rId33" w:history="1">
        <w:r w:rsidR="001C38A0">
          <w:rPr>
            <w:rStyle w:val="a3"/>
          </w:rPr>
          <w:t>http://www</w:t>
        </w:r>
      </w:hyperlink>
      <w:r w:rsidR="001C38A0">
        <w:t>. iadi. org/docs/cprevised2014nov.pdf</w:t>
      </w:r>
    </w:p>
    <w:p w:rsidR="00613F37" w:rsidRDefault="001C38A0">
      <w:pPr>
        <w:pStyle w:val="50"/>
        <w:framePr w:w="9960" w:h="13858" w:hRule="exact" w:wrap="around" w:vAnchor="page" w:hAnchor="page" w:x="1031" w:y="1140"/>
        <w:numPr>
          <w:ilvl w:val="0"/>
          <w:numId w:val="3"/>
        </w:numPr>
        <w:shd w:val="clear" w:color="auto" w:fill="auto"/>
        <w:tabs>
          <w:tab w:val="left" w:pos="1371"/>
          <w:tab w:val="right" w:pos="4062"/>
          <w:tab w:val="right" w:pos="5633"/>
          <w:tab w:val="right" w:pos="6615"/>
          <w:tab w:val="left" w:pos="7443"/>
          <w:tab w:val="right" w:pos="9930"/>
        </w:tabs>
        <w:ind w:left="20" w:right="20" w:firstLine="580"/>
      </w:pPr>
      <w:r>
        <w:t xml:space="preserve"> International Association of Deposit Insurers “Funding of Deposit Insurance Systems”, May</w:t>
      </w:r>
      <w:r>
        <w:tab/>
        <w:t>2009</w:t>
      </w:r>
      <w:r>
        <w:tab/>
      </w:r>
      <w:r>
        <w:rPr>
          <w:lang w:val="uk-UA" w:eastAsia="uk-UA" w:bidi="uk-UA"/>
        </w:rPr>
        <w:t>[Електронний</w:t>
      </w:r>
      <w:r>
        <w:rPr>
          <w:lang w:val="uk-UA" w:eastAsia="uk-UA" w:bidi="uk-UA"/>
        </w:rPr>
        <w:tab/>
        <w:t>ресурс]</w:t>
      </w:r>
      <w:r>
        <w:rPr>
          <w:lang w:val="uk-UA" w:eastAsia="uk-UA" w:bidi="uk-UA"/>
        </w:rPr>
        <w:tab/>
      </w:r>
      <w:r>
        <w:t>-</w:t>
      </w:r>
      <w:r>
        <w:tab/>
      </w:r>
      <w:r>
        <w:rPr>
          <w:lang w:val="uk-UA" w:eastAsia="uk-UA" w:bidi="uk-UA"/>
        </w:rPr>
        <w:t>Режим</w:t>
      </w:r>
      <w:r>
        <w:rPr>
          <w:lang w:val="uk-UA" w:eastAsia="uk-UA" w:bidi="uk-UA"/>
        </w:rPr>
        <w:tab/>
        <w:t>доступу:</w:t>
      </w:r>
    </w:p>
    <w:p w:rsidR="00613F37" w:rsidRDefault="00613F37">
      <w:pPr>
        <w:pStyle w:val="50"/>
        <w:framePr w:w="9960" w:h="13858" w:hRule="exact" w:wrap="around" w:vAnchor="page" w:hAnchor="page" w:x="1031" w:y="1140"/>
        <w:shd w:val="clear" w:color="auto" w:fill="auto"/>
        <w:ind w:left="20"/>
      </w:pPr>
      <w:hyperlink r:id="rId34" w:history="1">
        <w:r w:rsidR="001C38A0">
          <w:rPr>
            <w:rStyle w:val="a3"/>
          </w:rPr>
          <w:t>http://www</w:t>
        </w:r>
      </w:hyperlink>
      <w:r w:rsidR="001C38A0">
        <w:t>. iadi. org/do</w:t>
      </w:r>
      <w:r w:rsidR="001C38A0">
        <w:t>cs/funding%20final %20guidance %20paper %206_may_2009.pdf</w:t>
      </w:r>
    </w:p>
    <w:p w:rsidR="00613F37" w:rsidRDefault="001C38A0">
      <w:pPr>
        <w:pStyle w:val="a7"/>
        <w:framePr w:wrap="around" w:vAnchor="page" w:hAnchor="page" w:x="1031" w:y="15658"/>
        <w:shd w:val="clear" w:color="auto" w:fill="auto"/>
        <w:spacing w:line="180" w:lineRule="exact"/>
        <w:ind w:left="20"/>
      </w:pPr>
      <w:r>
        <w:rPr>
          <w:lang w:val="en-US" w:eastAsia="en-US" w:bidi="en-US"/>
        </w:rPr>
        <w:t xml:space="preserve">ISSN 1818-2682. </w:t>
      </w:r>
      <w:r>
        <w:t xml:space="preserve">Наука молода, </w:t>
      </w:r>
      <w:r>
        <w:rPr>
          <w:lang w:val="en-US" w:eastAsia="en-US" w:bidi="en-US"/>
        </w:rPr>
        <w:t xml:space="preserve">2015 </w:t>
      </w:r>
      <w:r>
        <w:t xml:space="preserve">рік. </w:t>
      </w:r>
      <w:r>
        <w:rPr>
          <w:lang w:val="en-US" w:eastAsia="en-US" w:bidi="en-US"/>
        </w:rPr>
        <w:t>№ 23</w:t>
      </w:r>
    </w:p>
    <w:p w:rsidR="00613F37" w:rsidRDefault="001C38A0">
      <w:pPr>
        <w:pStyle w:val="a7"/>
        <w:framePr w:wrap="around" w:vAnchor="page" w:hAnchor="page" w:x="10751" w:y="15662"/>
        <w:shd w:val="clear" w:color="auto" w:fill="auto"/>
        <w:spacing w:line="180" w:lineRule="exact"/>
        <w:ind w:left="20"/>
      </w:pPr>
      <w:r>
        <w:t>45</w:t>
      </w:r>
    </w:p>
    <w:p w:rsidR="00613F37" w:rsidRDefault="00613F37">
      <w:pPr>
        <w:rPr>
          <w:sz w:val="2"/>
          <w:szCs w:val="2"/>
        </w:rPr>
      </w:pPr>
    </w:p>
    <w:sectPr w:rsidR="00613F37" w:rsidSect="00613F37">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38A0" w:rsidRDefault="001C38A0" w:rsidP="00613F37">
      <w:r>
        <w:separator/>
      </w:r>
    </w:p>
  </w:endnote>
  <w:endnote w:type="continuationSeparator" w:id="1">
    <w:p w:rsidR="001C38A0" w:rsidRDefault="001C38A0" w:rsidP="00613F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38A0" w:rsidRDefault="001C38A0"/>
  </w:footnote>
  <w:footnote w:type="continuationSeparator" w:id="1">
    <w:p w:rsidR="001C38A0" w:rsidRDefault="001C38A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26522C"/>
    <w:multiLevelType w:val="multilevel"/>
    <w:tmpl w:val="6D4A3C3A"/>
    <w:lvl w:ilvl="0">
      <w:start w:val="1"/>
      <w:numFmt w:val="decimal"/>
      <w:lvlText w:val="%1."/>
      <w:lvlJc w:val="left"/>
      <w:rPr>
        <w:rFonts w:ascii="Times New Roman" w:eastAsia="Times New Roman" w:hAnsi="Times New Roman" w:cs="Times New Roman"/>
        <w:b w:val="0"/>
        <w:bCs w:val="0"/>
        <w:i/>
        <w:iCs/>
        <w:smallCaps w:val="0"/>
        <w:strike w:val="0"/>
        <w:color w:val="000000"/>
        <w:spacing w:val="-3"/>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FD97F43"/>
    <w:multiLevelType w:val="multilevel"/>
    <w:tmpl w:val="D41015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4C90F13"/>
    <w:multiLevelType w:val="multilevel"/>
    <w:tmpl w:val="145673C2"/>
    <w:lvl w:ilvl="0">
      <w:start w:val="1"/>
      <w:numFmt w:val="decimal"/>
      <w:lvlText w:val="%1."/>
      <w:lvlJc w:val="left"/>
      <w:rPr>
        <w:rFonts w:ascii="Times New Roman" w:eastAsia="Times New Roman" w:hAnsi="Times New Roman" w:cs="Times New Roman"/>
        <w:b w:val="0"/>
        <w:bCs w:val="0"/>
        <w:i/>
        <w:iCs/>
        <w:smallCaps w:val="0"/>
        <w:strike w:val="0"/>
        <w:color w:val="000000"/>
        <w:spacing w:val="-3"/>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613F37"/>
    <w:rsid w:val="00045E84"/>
    <w:rsid w:val="001C38A0"/>
    <w:rsid w:val="00613F3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13F37"/>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13F37"/>
    <w:rPr>
      <w:color w:val="0066CC"/>
      <w:u w:val="single"/>
    </w:rPr>
  </w:style>
  <w:style w:type="character" w:customStyle="1" w:styleId="1">
    <w:name w:val="Заголовок №1_"/>
    <w:basedOn w:val="a0"/>
    <w:link w:val="10"/>
    <w:rsid w:val="00613F37"/>
    <w:rPr>
      <w:rFonts w:ascii="Times New Roman" w:eastAsia="Times New Roman" w:hAnsi="Times New Roman" w:cs="Times New Roman"/>
      <w:b/>
      <w:bCs/>
      <w:i w:val="0"/>
      <w:iCs w:val="0"/>
      <w:smallCaps w:val="0"/>
      <w:strike w:val="0"/>
      <w:spacing w:val="1"/>
      <w:u w:val="none"/>
    </w:rPr>
  </w:style>
  <w:style w:type="character" w:customStyle="1" w:styleId="2">
    <w:name w:val="Основний текст (2)_"/>
    <w:basedOn w:val="a0"/>
    <w:link w:val="20"/>
    <w:rsid w:val="00613F37"/>
    <w:rPr>
      <w:rFonts w:ascii="Times New Roman" w:eastAsia="Times New Roman" w:hAnsi="Times New Roman" w:cs="Times New Roman"/>
      <w:b/>
      <w:bCs/>
      <w:i w:val="0"/>
      <w:iCs w:val="0"/>
      <w:smallCaps w:val="0"/>
      <w:strike w:val="0"/>
      <w:spacing w:val="1"/>
      <w:sz w:val="21"/>
      <w:szCs w:val="21"/>
      <w:u w:val="none"/>
    </w:rPr>
  </w:style>
  <w:style w:type="character" w:customStyle="1" w:styleId="a4">
    <w:name w:val="Основний текст_"/>
    <w:basedOn w:val="a0"/>
    <w:link w:val="a5"/>
    <w:rsid w:val="00613F37"/>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3">
    <w:name w:val="Основний текст (3)_"/>
    <w:basedOn w:val="a0"/>
    <w:link w:val="30"/>
    <w:rsid w:val="00613F37"/>
    <w:rPr>
      <w:rFonts w:ascii="Times New Roman" w:eastAsia="Times New Roman" w:hAnsi="Times New Roman" w:cs="Times New Roman"/>
      <w:b/>
      <w:bCs/>
      <w:i/>
      <w:iCs/>
      <w:smallCaps w:val="0"/>
      <w:strike w:val="0"/>
      <w:sz w:val="18"/>
      <w:szCs w:val="18"/>
      <w:u w:val="none"/>
      <w:lang w:val="en-US" w:eastAsia="en-US" w:bidi="en-US"/>
    </w:rPr>
  </w:style>
  <w:style w:type="character" w:customStyle="1" w:styleId="4">
    <w:name w:val="Основний текст (4)_"/>
    <w:basedOn w:val="a0"/>
    <w:link w:val="40"/>
    <w:rsid w:val="00613F37"/>
    <w:rPr>
      <w:rFonts w:ascii="Times New Roman" w:eastAsia="Times New Roman" w:hAnsi="Times New Roman" w:cs="Times New Roman"/>
      <w:b w:val="0"/>
      <w:bCs w:val="0"/>
      <w:i/>
      <w:iCs/>
      <w:smallCaps w:val="0"/>
      <w:strike w:val="0"/>
      <w:sz w:val="18"/>
      <w:szCs w:val="18"/>
      <w:u w:val="none"/>
      <w:lang w:val="en-US" w:eastAsia="en-US" w:bidi="en-US"/>
    </w:rPr>
  </w:style>
  <w:style w:type="character" w:customStyle="1" w:styleId="41">
    <w:name w:val="Основний текст (4) + Напівжирний"/>
    <w:basedOn w:val="4"/>
    <w:rsid w:val="00613F37"/>
    <w:rPr>
      <w:b/>
      <w:bCs/>
      <w:color w:val="000000"/>
      <w:spacing w:val="0"/>
      <w:w w:val="100"/>
      <w:position w:val="0"/>
      <w:lang w:val="uk-UA" w:eastAsia="uk-UA" w:bidi="uk-UA"/>
    </w:rPr>
  </w:style>
  <w:style w:type="character" w:customStyle="1" w:styleId="a6">
    <w:name w:val="Колонтитул_"/>
    <w:basedOn w:val="a0"/>
    <w:link w:val="a7"/>
    <w:rsid w:val="00613F37"/>
    <w:rPr>
      <w:rFonts w:ascii="Times New Roman" w:eastAsia="Times New Roman" w:hAnsi="Times New Roman" w:cs="Times New Roman"/>
      <w:b w:val="0"/>
      <w:bCs w:val="0"/>
      <w:i w:val="0"/>
      <w:iCs w:val="0"/>
      <w:smallCaps w:val="0"/>
      <w:strike w:val="0"/>
      <w:sz w:val="18"/>
      <w:szCs w:val="18"/>
      <w:u w:val="none"/>
    </w:rPr>
  </w:style>
  <w:style w:type="character" w:customStyle="1" w:styleId="40pt">
    <w:name w:val="Основний текст (4) + Не курсив;Інтервал 0 pt"/>
    <w:basedOn w:val="4"/>
    <w:rsid w:val="00613F37"/>
    <w:rPr>
      <w:i/>
      <w:iCs/>
      <w:color w:val="000000"/>
      <w:spacing w:val="-2"/>
      <w:w w:val="100"/>
      <w:position w:val="0"/>
    </w:rPr>
  </w:style>
  <w:style w:type="character" w:customStyle="1" w:styleId="0pt">
    <w:name w:val="Основний текст + Напівжирний;Інтервал 0 pt"/>
    <w:basedOn w:val="a4"/>
    <w:rsid w:val="00613F37"/>
    <w:rPr>
      <w:b/>
      <w:bCs/>
      <w:color w:val="000000"/>
      <w:spacing w:val="1"/>
      <w:w w:val="100"/>
      <w:position w:val="0"/>
      <w:lang w:val="uk-UA" w:eastAsia="uk-UA" w:bidi="uk-UA"/>
    </w:rPr>
  </w:style>
  <w:style w:type="character" w:customStyle="1" w:styleId="20pt">
    <w:name w:val="Основний текст (2) + Не напівжирний;Інтервал 0 pt"/>
    <w:basedOn w:val="2"/>
    <w:rsid w:val="00613F37"/>
    <w:rPr>
      <w:b/>
      <w:bCs/>
      <w:color w:val="000000"/>
      <w:spacing w:val="3"/>
      <w:w w:val="100"/>
      <w:position w:val="0"/>
      <w:lang w:val="uk-UA" w:eastAsia="uk-UA" w:bidi="uk-UA"/>
    </w:rPr>
  </w:style>
  <w:style w:type="character" w:customStyle="1" w:styleId="a8">
    <w:name w:val="Підпис до таблиці_"/>
    <w:basedOn w:val="a0"/>
    <w:link w:val="a9"/>
    <w:rsid w:val="00613F37"/>
    <w:rPr>
      <w:rFonts w:ascii="Times New Roman" w:eastAsia="Times New Roman" w:hAnsi="Times New Roman" w:cs="Times New Roman"/>
      <w:b/>
      <w:bCs/>
      <w:i w:val="0"/>
      <w:iCs w:val="0"/>
      <w:smallCaps w:val="0"/>
      <w:strike w:val="0"/>
      <w:spacing w:val="1"/>
      <w:u w:val="none"/>
    </w:rPr>
  </w:style>
  <w:style w:type="character" w:customStyle="1" w:styleId="aa">
    <w:name w:val="Підпис до таблиці"/>
    <w:basedOn w:val="a8"/>
    <w:rsid w:val="00613F37"/>
    <w:rPr>
      <w:color w:val="000000"/>
      <w:w w:val="100"/>
      <w:position w:val="0"/>
      <w:sz w:val="24"/>
      <w:szCs w:val="24"/>
      <w:u w:val="single"/>
      <w:lang w:val="uk-UA" w:eastAsia="uk-UA" w:bidi="uk-UA"/>
    </w:rPr>
  </w:style>
  <w:style w:type="character" w:customStyle="1" w:styleId="9pt0pt">
    <w:name w:val="Основний текст + 9 pt;Інтервал 0 pt"/>
    <w:basedOn w:val="a4"/>
    <w:rsid w:val="00613F37"/>
    <w:rPr>
      <w:color w:val="000000"/>
      <w:spacing w:val="-2"/>
      <w:w w:val="100"/>
      <w:position w:val="0"/>
      <w:sz w:val="18"/>
      <w:szCs w:val="18"/>
      <w:lang w:val="uk-UA" w:eastAsia="uk-UA" w:bidi="uk-UA"/>
    </w:rPr>
  </w:style>
  <w:style w:type="character" w:customStyle="1" w:styleId="9pt0pt0">
    <w:name w:val="Основний текст + 9 pt;Інтервал 0 pt"/>
    <w:basedOn w:val="a4"/>
    <w:rsid w:val="00613F37"/>
    <w:rPr>
      <w:color w:val="000000"/>
      <w:spacing w:val="-2"/>
      <w:w w:val="100"/>
      <w:position w:val="0"/>
      <w:sz w:val="18"/>
      <w:szCs w:val="18"/>
      <w:lang w:val="uk-UA" w:eastAsia="uk-UA" w:bidi="uk-UA"/>
    </w:rPr>
  </w:style>
  <w:style w:type="character" w:customStyle="1" w:styleId="21">
    <w:name w:val="Заголовок №2_"/>
    <w:basedOn w:val="a0"/>
    <w:link w:val="22"/>
    <w:rsid w:val="00613F37"/>
    <w:rPr>
      <w:rFonts w:ascii="Times New Roman" w:eastAsia="Times New Roman" w:hAnsi="Times New Roman" w:cs="Times New Roman"/>
      <w:b/>
      <w:bCs/>
      <w:i/>
      <w:iCs/>
      <w:smallCaps w:val="0"/>
      <w:strike w:val="0"/>
      <w:spacing w:val="-1"/>
      <w:sz w:val="21"/>
      <w:szCs w:val="21"/>
      <w:u w:val="none"/>
    </w:rPr>
  </w:style>
  <w:style w:type="character" w:customStyle="1" w:styleId="5">
    <w:name w:val="Основний текст (5)_"/>
    <w:basedOn w:val="a0"/>
    <w:link w:val="50"/>
    <w:rsid w:val="00613F37"/>
    <w:rPr>
      <w:rFonts w:ascii="Times New Roman" w:eastAsia="Times New Roman" w:hAnsi="Times New Roman" w:cs="Times New Roman"/>
      <w:b w:val="0"/>
      <w:bCs w:val="0"/>
      <w:i/>
      <w:iCs/>
      <w:smallCaps w:val="0"/>
      <w:strike w:val="0"/>
      <w:spacing w:val="-3"/>
      <w:sz w:val="22"/>
      <w:szCs w:val="22"/>
      <w:u w:val="none"/>
      <w:lang w:val="en-US" w:eastAsia="en-US" w:bidi="en-US"/>
    </w:rPr>
  </w:style>
  <w:style w:type="paragraph" w:customStyle="1" w:styleId="10">
    <w:name w:val="Заголовок №1"/>
    <w:basedOn w:val="a"/>
    <w:link w:val="1"/>
    <w:rsid w:val="00613F37"/>
    <w:pPr>
      <w:shd w:val="clear" w:color="auto" w:fill="FFFFFF"/>
      <w:spacing w:after="720" w:line="322" w:lineRule="exact"/>
      <w:jc w:val="center"/>
      <w:outlineLvl w:val="0"/>
    </w:pPr>
    <w:rPr>
      <w:rFonts w:ascii="Times New Roman" w:eastAsia="Times New Roman" w:hAnsi="Times New Roman" w:cs="Times New Roman"/>
      <w:b/>
      <w:bCs/>
      <w:spacing w:val="1"/>
    </w:rPr>
  </w:style>
  <w:style w:type="paragraph" w:customStyle="1" w:styleId="20">
    <w:name w:val="Основний текст (2)"/>
    <w:basedOn w:val="a"/>
    <w:link w:val="2"/>
    <w:rsid w:val="00613F37"/>
    <w:pPr>
      <w:shd w:val="clear" w:color="auto" w:fill="FFFFFF"/>
      <w:spacing w:before="720" w:line="274" w:lineRule="exact"/>
      <w:jc w:val="both"/>
    </w:pPr>
    <w:rPr>
      <w:rFonts w:ascii="Times New Roman" w:eastAsia="Times New Roman" w:hAnsi="Times New Roman" w:cs="Times New Roman"/>
      <w:b/>
      <w:bCs/>
      <w:spacing w:val="1"/>
      <w:sz w:val="21"/>
      <w:szCs w:val="21"/>
    </w:rPr>
  </w:style>
  <w:style w:type="paragraph" w:customStyle="1" w:styleId="a5">
    <w:name w:val="Основний текст"/>
    <w:basedOn w:val="a"/>
    <w:link w:val="a4"/>
    <w:rsid w:val="00613F37"/>
    <w:pPr>
      <w:shd w:val="clear" w:color="auto" w:fill="FFFFFF"/>
      <w:spacing w:after="240" w:line="274" w:lineRule="exact"/>
      <w:jc w:val="center"/>
    </w:pPr>
    <w:rPr>
      <w:rFonts w:ascii="Times New Roman" w:eastAsia="Times New Roman" w:hAnsi="Times New Roman" w:cs="Times New Roman"/>
      <w:spacing w:val="3"/>
      <w:sz w:val="21"/>
      <w:szCs w:val="21"/>
    </w:rPr>
  </w:style>
  <w:style w:type="paragraph" w:customStyle="1" w:styleId="30">
    <w:name w:val="Основний текст (3)"/>
    <w:basedOn w:val="a"/>
    <w:link w:val="3"/>
    <w:rsid w:val="00613F37"/>
    <w:pPr>
      <w:shd w:val="clear" w:color="auto" w:fill="FFFFFF"/>
      <w:spacing w:before="240" w:line="226" w:lineRule="exact"/>
      <w:jc w:val="center"/>
    </w:pPr>
    <w:rPr>
      <w:rFonts w:ascii="Times New Roman" w:eastAsia="Times New Roman" w:hAnsi="Times New Roman" w:cs="Times New Roman"/>
      <w:b/>
      <w:bCs/>
      <w:i/>
      <w:iCs/>
      <w:sz w:val="18"/>
      <w:szCs w:val="18"/>
      <w:lang w:val="en-US" w:eastAsia="en-US" w:bidi="en-US"/>
    </w:rPr>
  </w:style>
  <w:style w:type="paragraph" w:customStyle="1" w:styleId="40">
    <w:name w:val="Основний текст (4)"/>
    <w:basedOn w:val="a"/>
    <w:link w:val="4"/>
    <w:rsid w:val="00613F37"/>
    <w:pPr>
      <w:shd w:val="clear" w:color="auto" w:fill="FFFFFF"/>
      <w:spacing w:line="226" w:lineRule="exact"/>
      <w:ind w:firstLine="560"/>
      <w:jc w:val="both"/>
    </w:pPr>
    <w:rPr>
      <w:rFonts w:ascii="Times New Roman" w:eastAsia="Times New Roman" w:hAnsi="Times New Roman" w:cs="Times New Roman"/>
      <w:i/>
      <w:iCs/>
      <w:sz w:val="18"/>
      <w:szCs w:val="18"/>
      <w:lang w:val="en-US" w:eastAsia="en-US" w:bidi="en-US"/>
    </w:rPr>
  </w:style>
  <w:style w:type="paragraph" w:customStyle="1" w:styleId="a7">
    <w:name w:val="Колонтитул"/>
    <w:basedOn w:val="a"/>
    <w:link w:val="a6"/>
    <w:rsid w:val="00613F37"/>
    <w:pPr>
      <w:shd w:val="clear" w:color="auto" w:fill="FFFFFF"/>
      <w:spacing w:line="0" w:lineRule="atLeast"/>
    </w:pPr>
    <w:rPr>
      <w:rFonts w:ascii="Times New Roman" w:eastAsia="Times New Roman" w:hAnsi="Times New Roman" w:cs="Times New Roman"/>
      <w:sz w:val="18"/>
      <w:szCs w:val="18"/>
    </w:rPr>
  </w:style>
  <w:style w:type="paragraph" w:customStyle="1" w:styleId="a9">
    <w:name w:val="Підпис до таблиці"/>
    <w:basedOn w:val="a"/>
    <w:link w:val="a8"/>
    <w:rsid w:val="00613F37"/>
    <w:pPr>
      <w:shd w:val="clear" w:color="auto" w:fill="FFFFFF"/>
      <w:spacing w:line="326" w:lineRule="exact"/>
      <w:jc w:val="right"/>
    </w:pPr>
    <w:rPr>
      <w:rFonts w:ascii="Times New Roman" w:eastAsia="Times New Roman" w:hAnsi="Times New Roman" w:cs="Times New Roman"/>
      <w:b/>
      <w:bCs/>
      <w:spacing w:val="1"/>
    </w:rPr>
  </w:style>
  <w:style w:type="paragraph" w:customStyle="1" w:styleId="22">
    <w:name w:val="Заголовок №2"/>
    <w:basedOn w:val="a"/>
    <w:link w:val="21"/>
    <w:rsid w:val="00613F37"/>
    <w:pPr>
      <w:shd w:val="clear" w:color="auto" w:fill="FFFFFF"/>
      <w:spacing w:before="240" w:line="274" w:lineRule="exact"/>
      <w:outlineLvl w:val="1"/>
    </w:pPr>
    <w:rPr>
      <w:rFonts w:ascii="Times New Roman" w:eastAsia="Times New Roman" w:hAnsi="Times New Roman" w:cs="Times New Roman"/>
      <w:b/>
      <w:bCs/>
      <w:i/>
      <w:iCs/>
      <w:spacing w:val="-1"/>
      <w:sz w:val="21"/>
      <w:szCs w:val="21"/>
    </w:rPr>
  </w:style>
  <w:style w:type="paragraph" w:customStyle="1" w:styleId="50">
    <w:name w:val="Основний текст (5)"/>
    <w:basedOn w:val="a"/>
    <w:link w:val="5"/>
    <w:rsid w:val="00613F37"/>
    <w:pPr>
      <w:shd w:val="clear" w:color="auto" w:fill="FFFFFF"/>
      <w:spacing w:line="274" w:lineRule="exact"/>
      <w:jc w:val="both"/>
    </w:pPr>
    <w:rPr>
      <w:rFonts w:ascii="Times New Roman" w:eastAsia="Times New Roman" w:hAnsi="Times New Roman" w:cs="Times New Roman"/>
      <w:i/>
      <w:iCs/>
      <w:spacing w:val="-3"/>
      <w:sz w:val="22"/>
      <w:szCs w:val="22"/>
      <w:lang w:val="en-US" w:eastAsia="en-US"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skirka92@mail.ru" TargetMode="External"/><Relationship Id="rId13" Type="http://schemas.openxmlformats.org/officeDocument/2006/relationships/hyperlink" Target="http://zakon2" TargetMode="External"/><Relationship Id="rId18" Type="http://schemas.openxmlformats.org/officeDocument/2006/relationships/hyperlink" Target="http://eur-lex.europa.eu/legal-" TargetMode="External"/><Relationship Id="rId26" Type="http://schemas.openxmlformats.org/officeDocument/2006/relationships/hyperlink" Target="http://www" TargetMode="External"/><Relationship Id="rId3" Type="http://schemas.openxmlformats.org/officeDocument/2006/relationships/settings" Target="settings.xml"/><Relationship Id="rId21" Type="http://schemas.openxmlformats.org/officeDocument/2006/relationships/hyperlink" Target="http://www.fscs.org.uk/industry/news/2015/april/fscs-announces-final-levy-for-201516-at-" TargetMode="External"/><Relationship Id="rId34" Type="http://schemas.openxmlformats.org/officeDocument/2006/relationships/hyperlink" Target="http://www" TargetMode="External"/><Relationship Id="rId7" Type="http://schemas.openxmlformats.org/officeDocument/2006/relationships/hyperlink" Target="mailto:bogdan_fbb@ukr.net" TargetMode="External"/><Relationship Id="rId12" Type="http://schemas.openxmlformats.org/officeDocument/2006/relationships/hyperlink" Target="mailto:skirka92@mail.ru" TargetMode="External"/><Relationship Id="rId17" Type="http://schemas.openxmlformats.org/officeDocument/2006/relationships/hyperlink" Target="https://www.imf.org/external/pubs/ft/wp/2014/wp14118.pdf" TargetMode="External"/><Relationship Id="rId25" Type="http://schemas.openxmlformats.org/officeDocument/2006/relationships/hyperlink" Target="http://efdi" TargetMode="External"/><Relationship Id="rId33" Type="http://schemas.openxmlformats.org/officeDocument/2006/relationships/hyperlink" Target="http://www" TargetMode="External"/><Relationship Id="rId2" Type="http://schemas.openxmlformats.org/officeDocument/2006/relationships/styles" Target="styles.xml"/><Relationship Id="rId16" Type="http://schemas.openxmlformats.org/officeDocument/2006/relationships/hyperlink" Target="https://www.fdic.gov" TargetMode="External"/><Relationship Id="rId20" Type="http://schemas.openxmlformats.org/officeDocument/2006/relationships/hyperlink" Target="http://www.financialstabilityboard.org/wp-" TargetMode="External"/><Relationship Id="rId29" Type="http://schemas.openxmlformats.org/officeDocument/2006/relationships/hyperlink" Target="http://eur-lex.europa.eu/lega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ogdan_fbb@ukr.net" TargetMode="External"/><Relationship Id="rId24" Type="http://schemas.openxmlformats.org/officeDocument/2006/relationships/hyperlink" Target="http://zakon2" TargetMode="External"/><Relationship Id="rId32" Type="http://schemas.openxmlformats.org/officeDocument/2006/relationships/hyperlink" Target="http://www.fscs.org.uk/industry/news/2015/april/fscs-announces-final-levy-201516-at-319m/" TargetMode="External"/><Relationship Id="rId5" Type="http://schemas.openxmlformats.org/officeDocument/2006/relationships/footnotes" Target="footnotes.xml"/><Relationship Id="rId15" Type="http://schemas.openxmlformats.org/officeDocument/2006/relationships/hyperlink" Target="http://www" TargetMode="External"/><Relationship Id="rId23" Type="http://schemas.openxmlformats.org/officeDocument/2006/relationships/hyperlink" Target="http://www" TargetMode="External"/><Relationship Id="rId28" Type="http://schemas.openxmlformats.org/officeDocument/2006/relationships/hyperlink" Target="https://www.imf.org/external/pubs/ft/wp/2014/wp14118.pdf" TargetMode="External"/><Relationship Id="rId36" Type="http://schemas.openxmlformats.org/officeDocument/2006/relationships/theme" Target="theme/theme1.xml"/><Relationship Id="rId10" Type="http://schemas.openxmlformats.org/officeDocument/2006/relationships/hyperlink" Target="mailto:skirka92@mail.ru" TargetMode="External"/><Relationship Id="rId19" Type="http://schemas.openxmlformats.org/officeDocument/2006/relationships/hyperlink" Target="http://www.fscs" TargetMode="External"/><Relationship Id="rId31" Type="http://schemas.openxmlformats.org/officeDocument/2006/relationships/hyperlink" Target="http://www.financialstabilityboard.org/wp-" TargetMode="External"/><Relationship Id="rId4" Type="http://schemas.openxmlformats.org/officeDocument/2006/relationships/webSettings" Target="webSettings.xml"/><Relationship Id="rId9" Type="http://schemas.openxmlformats.org/officeDocument/2006/relationships/hyperlink" Target="mailto:bogdan_fbb@ukr.net" TargetMode="External"/><Relationship Id="rId14" Type="http://schemas.openxmlformats.org/officeDocument/2006/relationships/hyperlink" Target="http://efdi.eu/index.php?id=2" TargetMode="External"/><Relationship Id="rId22" Type="http://schemas.openxmlformats.org/officeDocument/2006/relationships/hyperlink" Target="http://www" TargetMode="External"/><Relationship Id="rId27" Type="http://schemas.openxmlformats.org/officeDocument/2006/relationships/hyperlink" Target="https://www.fdic.gov" TargetMode="External"/><Relationship Id="rId30" Type="http://schemas.openxmlformats.org/officeDocument/2006/relationships/hyperlink" Target="http://www.fscs"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15515</Words>
  <Characters>8844</Characters>
  <Application>Microsoft Office Word</Application>
  <DocSecurity>0</DocSecurity>
  <Lines>73</Lines>
  <Paragraphs>48</Paragraphs>
  <ScaleCrop>false</ScaleCrop>
  <Company>Microsoft</Company>
  <LinksUpToDate>false</LinksUpToDate>
  <CharactersWithSpaces>24311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1</cp:revision>
  <dcterms:created xsi:type="dcterms:W3CDTF">2017-09-13T09:01:00Z</dcterms:created>
  <dcterms:modified xsi:type="dcterms:W3CDTF">2017-09-13T09:03:00Z</dcterms:modified>
</cp:coreProperties>
</file>