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49" w:rsidRDefault="00921C76">
      <w:pPr>
        <w:pStyle w:val="a5"/>
        <w:framePr w:wrap="around" w:vAnchor="page" w:hAnchor="page" w:x="5275" w:y="1301"/>
        <w:shd w:val="clear" w:color="auto" w:fill="auto"/>
        <w:spacing w:line="170" w:lineRule="exact"/>
        <w:ind w:left="20"/>
      </w:pPr>
      <w:r>
        <w:t>Перспективи розвитку фінансово-кредитної системи</w:t>
      </w:r>
    </w:p>
    <w:p w:rsidR="00E64849" w:rsidRDefault="00921C76">
      <w:pPr>
        <w:pStyle w:val="20"/>
        <w:framePr w:w="9096" w:h="12286" w:hRule="exact" w:wrap="around" w:vAnchor="page" w:hAnchor="page" w:x="1411" w:y="2333"/>
        <w:shd w:val="clear" w:color="auto" w:fill="auto"/>
        <w:spacing w:after="429" w:line="170" w:lineRule="exact"/>
        <w:ind w:right="20"/>
      </w:pPr>
      <w:bookmarkStart w:id="0" w:name="bookmark0"/>
      <w:r>
        <w:t>Олена МАЛАХОВА, Катерина НОВАЦЬКА</w:t>
      </w:r>
      <w:bookmarkEnd w:id="0"/>
    </w:p>
    <w:p w:rsidR="00E64849" w:rsidRDefault="00921C76">
      <w:pPr>
        <w:pStyle w:val="22"/>
        <w:framePr w:w="9096" w:h="12286" w:hRule="exact" w:wrap="around" w:vAnchor="page" w:hAnchor="page" w:x="1411" w:y="2333"/>
        <w:shd w:val="clear" w:color="auto" w:fill="auto"/>
        <w:spacing w:before="0" w:after="219"/>
      </w:pPr>
      <w:r>
        <w:t>МАКРОЕКОНОМІЧНИЙ ВПЛИВ БАНКІВСЬКОЇ СИСТЕМИ НА ТЕМПИ ЕКОНОМІЧНОГО ЗРОСТАННЯ В УКРАЇНІ</w:t>
      </w:r>
    </w:p>
    <w:p w:rsidR="00E64849" w:rsidRDefault="00921C76">
      <w:pPr>
        <w:pStyle w:val="30"/>
        <w:framePr w:w="9096" w:h="12286" w:hRule="exact" w:wrap="around" w:vAnchor="page" w:hAnchor="page" w:x="1411" w:y="2333"/>
        <w:shd w:val="clear" w:color="auto" w:fill="auto"/>
        <w:spacing w:before="0"/>
        <w:ind w:left="20" w:right="20" w:firstLine="280"/>
      </w:pPr>
      <w:r>
        <w:t xml:space="preserve">Розглянуто основні напрями взаємодії'банківського та реального секторів економіки. </w:t>
      </w:r>
      <w:r>
        <w:t>Окрес</w:t>
      </w:r>
      <w:r>
        <w:softHyphen/>
        <w:t>лено можливі шляхи оптимізації кредитної політики банків</w:t>
      </w:r>
      <w:r>
        <w:rPr>
          <w:rStyle w:val="3David12pt0pt"/>
        </w:rPr>
        <w:t xml:space="preserve"> </w:t>
      </w:r>
      <w:r>
        <w:rPr>
          <w:rStyle w:val="385pt0pt"/>
        </w:rPr>
        <w:t xml:space="preserve">з </w:t>
      </w:r>
      <w:r>
        <w:t>урахуванням підвищеного ризику в умовах фінансової нестабільності.</w:t>
      </w:r>
    </w:p>
    <w:p w:rsidR="00E64849" w:rsidRDefault="00921C76">
      <w:pPr>
        <w:pStyle w:val="30"/>
        <w:framePr w:w="9096" w:h="12286" w:hRule="exact" w:wrap="around" w:vAnchor="page" w:hAnchor="page" w:x="1411" w:y="2333"/>
        <w:shd w:val="clear" w:color="auto" w:fill="auto"/>
        <w:spacing w:before="0"/>
        <w:ind w:left="20" w:right="20" w:firstLine="280"/>
      </w:pPr>
      <w:r>
        <w:rPr>
          <w:lang w:val="en-US" w:eastAsia="en-US" w:bidi="en-US"/>
        </w:rPr>
        <w:t>Basic directions of co-operation of bank and real sectors of economy are examined and the possible ways of optimization of c</w:t>
      </w:r>
      <w:r>
        <w:rPr>
          <w:lang w:val="en-US" w:eastAsia="en-US" w:bidi="en-US"/>
        </w:rPr>
        <w:t>redit policy of banks are outlined taking into account an enhanceable risk in the conditions of financial instability.</w:t>
      </w:r>
    </w:p>
    <w:p w:rsidR="00E64849" w:rsidRDefault="00921C76">
      <w:pPr>
        <w:pStyle w:val="a7"/>
        <w:framePr w:w="9096" w:h="12286" w:hRule="exact" w:wrap="around" w:vAnchor="page" w:hAnchor="page" w:x="1411" w:y="2333"/>
        <w:shd w:val="clear" w:color="auto" w:fill="auto"/>
        <w:spacing w:before="0"/>
        <w:ind w:left="20" w:right="20" w:firstLine="280"/>
      </w:pPr>
      <w:r>
        <w:t>Нині однією з найбільш важливих проблем пришвидшеного розвитку економіки України є завдання організації конструктивної взаємодії реальног</w:t>
      </w:r>
      <w:r>
        <w:t>о і банківського секторів економіки. Проаналізувавши основні тенденції розвитку кредитування за останні роки, можна констатувати, що в сучасних умовах найважливіша, перерозподільна функція кредиту в нашій економіці реалізована не повністю. Незважаючи на те</w:t>
      </w:r>
      <w:r>
        <w:t>, що темпи збільшення кредитних вкладень банків в економіку істотно вищі, ніж темпи зростання ВВП, однозначно стверджувати про якісне підвищення ролі банків в економіці країни поки що передчасно.</w:t>
      </w:r>
    </w:p>
    <w:p w:rsidR="00E64849" w:rsidRDefault="00921C76">
      <w:pPr>
        <w:pStyle w:val="a7"/>
        <w:framePr w:w="9096" w:h="12286" w:hRule="exact" w:wrap="around" w:vAnchor="page" w:hAnchor="page" w:x="1411" w:y="2333"/>
        <w:shd w:val="clear" w:color="auto" w:fill="auto"/>
        <w:spacing w:before="0"/>
        <w:ind w:left="20" w:right="20" w:firstLine="280"/>
      </w:pPr>
      <w:r>
        <w:t>Теоретичну основу дослідження кредитування і з’ясування його</w:t>
      </w:r>
      <w:r>
        <w:t xml:space="preserve"> ролі в економічному житті суспільства закладено в працях таких вчених-економістів, як М. І. Туган-Барановський, В. М. Геєць, П. С. Єщенко, А. Я. Кузнєцова, Т. В. Майорова, Л. І. Федулова, А. А. Чухно. Проте ряд питань підвищення ефективності взаємин банкі</w:t>
      </w:r>
      <w:r>
        <w:t>в і підприємств реального сектору залишаються недостатньо адаптованими до практичного використання, особливо в умовах фінансової нестабільності.</w:t>
      </w:r>
    </w:p>
    <w:p w:rsidR="00E64849" w:rsidRDefault="00921C76">
      <w:pPr>
        <w:pStyle w:val="a7"/>
        <w:framePr w:w="9096" w:h="12286" w:hRule="exact" w:wrap="around" w:vAnchor="page" w:hAnchor="page" w:x="1411" w:y="2333"/>
        <w:shd w:val="clear" w:color="auto" w:fill="auto"/>
        <w:spacing w:before="0"/>
        <w:ind w:left="20" w:right="20" w:firstLine="280"/>
      </w:pPr>
      <w:r>
        <w:t>Необхідно зауважити, що корпорації реального сектору економіки скаржаться на погіршення доступу до фінансових р</w:t>
      </w:r>
      <w:r>
        <w:t>есурсів, що вважається ними кредитною кризою. Вирішення цієї проблеми усклад</w:t>
      </w:r>
      <w:r>
        <w:softHyphen/>
        <w:t>нюється також кризовою ситуацією в країні, яка додала нових перешкод та факторів, що зменшили інвестиційну активність суб’єктів економічної діяльності. За таких обставин особливої</w:t>
      </w:r>
      <w:r>
        <w:t xml:space="preserve"> актуальності набуває дослідження впливу чинників, які стримують розвиток кредитування нефінансових корпо</w:t>
      </w:r>
      <w:r>
        <w:softHyphen/>
        <w:t>рацій в Україні та обґрунтування основних пропозицій щодо напрямків активізації ефективної взаємо</w:t>
      </w:r>
      <w:r>
        <w:softHyphen/>
        <w:t>дії вітчизняних банків із підприємствами реального с</w:t>
      </w:r>
      <w:r>
        <w:t>ектору економіки. Вочевидь, що ефективний розвиток і нарощування позитивних результатів того чи іншого сектору економіки взаємопов’язаний, і вирішення проблем їхньої взаємодії позитивно позначиться на результатах кожного зокрема.</w:t>
      </w:r>
    </w:p>
    <w:p w:rsidR="00E64849" w:rsidRDefault="00921C76">
      <w:pPr>
        <w:pStyle w:val="a7"/>
        <w:framePr w:w="9096" w:h="12286" w:hRule="exact" w:wrap="around" w:vAnchor="page" w:hAnchor="page" w:x="1411" w:y="2333"/>
        <w:shd w:val="clear" w:color="auto" w:fill="auto"/>
        <w:spacing w:before="0"/>
        <w:ind w:left="20" w:right="20" w:firstLine="280"/>
      </w:pPr>
      <w:r>
        <w:t>Тісний взаємозв’язок між р</w:t>
      </w:r>
      <w:r>
        <w:t>езультативністю функціонування реального та банківського секторів економіки можна проілюструвати такими основними макроекономічними показниками: за даними Державного комітету статистики фінансовий результат підприємств до оподаткування (крім малих, сільськ</w:t>
      </w:r>
      <w:r>
        <w:t>огосподарських підприємств і бюджетних установ) за січень-червень 2012 р. становив 29,2 млрд. грн., що на 29,7% менше порівняно з аналогічним періодом 2011 р. У 2012 р. збитково працювало 40,7% підприємств, ними допущено 59,5 млрд. грн. збитків, що на 10,4</w:t>
      </w:r>
      <w:r>
        <w:t>% більше, ніж за</w:t>
      </w:r>
    </w:p>
    <w:p w:rsidR="00E64849" w:rsidRDefault="00921C76">
      <w:pPr>
        <w:pStyle w:val="a7"/>
        <w:framePr w:w="9096" w:h="12286" w:hRule="exact" w:wrap="around" w:vAnchor="page" w:hAnchor="page" w:x="1411" w:y="2333"/>
        <w:shd w:val="clear" w:color="auto" w:fill="auto"/>
        <w:spacing w:before="0"/>
        <w:ind w:left="20"/>
        <w:jc w:val="left"/>
      </w:pPr>
      <w:r>
        <w:t>2011 р. [6].</w:t>
      </w:r>
    </w:p>
    <w:p w:rsidR="00E64849" w:rsidRDefault="00921C76">
      <w:pPr>
        <w:pStyle w:val="a7"/>
        <w:framePr w:w="9096" w:h="12286" w:hRule="exact" w:wrap="around" w:vAnchor="page" w:hAnchor="page" w:x="1411" w:y="2333"/>
        <w:shd w:val="clear" w:color="auto" w:fill="auto"/>
        <w:spacing w:before="0"/>
        <w:ind w:left="20" w:right="20" w:firstLine="280"/>
      </w:pPr>
      <w:r>
        <w:t>З іншого боку, за повідомленнями Національного банку України кількість збиткових банків за підсумками січня-вересня 2012 р. порівняно з першим півріччям збільшилася на 3 банки - до 22 банків. Прибуток одержали лише 153 банки в</w:t>
      </w:r>
      <w:r>
        <w:t xml:space="preserve"> сумі 4,801 млрд. грн., сума збитку 22 банків становить 2,026 млрд. грн. [5].</w:t>
      </w:r>
    </w:p>
    <w:p w:rsidR="00E64849" w:rsidRDefault="00921C76">
      <w:pPr>
        <w:pStyle w:val="a7"/>
        <w:framePr w:w="9096" w:h="12286" w:hRule="exact" w:wrap="around" w:vAnchor="page" w:hAnchor="page" w:x="1411" w:y="2333"/>
        <w:shd w:val="clear" w:color="auto" w:fill="auto"/>
        <w:spacing w:before="0"/>
        <w:ind w:left="20" w:right="20" w:firstLine="280"/>
      </w:pPr>
      <w:r>
        <w:t>Реалізація стратегічних завдань державної економічної політики зі структурної перебудови економіки висуває на перший план проблему пошуку реальним сектором господарства значних ф</w:t>
      </w:r>
      <w:r>
        <w:t>інансових ресурсів, спроможних покращити ситуацію, що склалася у зв’язку з низькою технічною оснащеністю</w:t>
      </w:r>
    </w:p>
    <w:p w:rsidR="00E64849" w:rsidRDefault="00921C76">
      <w:pPr>
        <w:pStyle w:val="40"/>
        <w:framePr w:wrap="around" w:vAnchor="page" w:hAnchor="page" w:x="1411" w:y="14986"/>
        <w:shd w:val="clear" w:color="auto" w:fill="auto"/>
        <w:spacing w:before="0" w:line="130" w:lineRule="exact"/>
        <w:ind w:left="20"/>
      </w:pPr>
      <w:r>
        <w:t>© Олена Малахова, Катерина Новацька, 2013.</w:t>
      </w:r>
    </w:p>
    <w:p w:rsidR="00E64849" w:rsidRDefault="00921C76">
      <w:pPr>
        <w:pStyle w:val="24"/>
        <w:framePr w:wrap="around" w:vAnchor="page" w:hAnchor="page" w:x="1406" w:y="15557"/>
        <w:shd w:val="clear" w:color="auto" w:fill="auto"/>
        <w:spacing w:line="130" w:lineRule="exact"/>
        <w:ind w:left="20"/>
      </w:pPr>
      <w:r>
        <w:t>Наука молода № 19, 2013 р.</w:t>
      </w:r>
    </w:p>
    <w:p w:rsidR="00E64849" w:rsidRDefault="00921C76">
      <w:pPr>
        <w:pStyle w:val="a5"/>
        <w:framePr w:wrap="around" w:vAnchor="page" w:hAnchor="page" w:x="10190" w:y="15580"/>
        <w:shd w:val="clear" w:color="auto" w:fill="auto"/>
        <w:spacing w:line="170" w:lineRule="exact"/>
        <w:ind w:left="20"/>
      </w:pPr>
      <w:r>
        <w:t>113</w:t>
      </w:r>
    </w:p>
    <w:p w:rsidR="00E64849" w:rsidRDefault="00E64849">
      <w:pPr>
        <w:rPr>
          <w:sz w:val="2"/>
          <w:szCs w:val="2"/>
        </w:rPr>
        <w:sectPr w:rsidR="00E6484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64849" w:rsidRDefault="00921C76">
      <w:pPr>
        <w:pStyle w:val="32"/>
        <w:framePr w:w="9130" w:h="432" w:hRule="exact" w:wrap="around" w:vAnchor="page" w:hAnchor="page" w:x="1406" w:y="1085"/>
        <w:shd w:val="clear" w:color="auto" w:fill="auto"/>
        <w:spacing w:after="45" w:line="140" w:lineRule="exact"/>
        <w:ind w:left="40"/>
      </w:pPr>
      <w:r>
        <w:lastRenderedPageBreak/>
        <w:t>О. Малахова, К. Новацька</w:t>
      </w:r>
    </w:p>
    <w:p w:rsidR="00E64849" w:rsidRDefault="00921C76">
      <w:pPr>
        <w:pStyle w:val="a5"/>
        <w:framePr w:w="9130" w:h="432" w:hRule="exact" w:wrap="around" w:vAnchor="page" w:hAnchor="page" w:x="1406" w:y="1085"/>
        <w:shd w:val="clear" w:color="auto" w:fill="auto"/>
        <w:spacing w:line="170" w:lineRule="exact"/>
        <w:ind w:left="40"/>
      </w:pPr>
      <w:r>
        <w:t xml:space="preserve">Макроекономічний вплив </w:t>
      </w:r>
      <w:r>
        <w:t>банківської...</w:t>
      </w:r>
    </w:p>
    <w:p w:rsidR="00E64849" w:rsidRDefault="00921C76">
      <w:pPr>
        <w:pStyle w:val="a7"/>
        <w:framePr w:w="9106" w:h="7839" w:hRule="exact" w:wrap="around" w:vAnchor="page" w:hAnchor="page" w:x="1406" w:y="1754"/>
        <w:shd w:val="clear" w:color="auto" w:fill="auto"/>
        <w:spacing w:before="0"/>
        <w:ind w:left="40" w:right="20"/>
      </w:pPr>
      <w:r>
        <w:t>підприємств, моральним і фізичним зношенням обладнання (нині цей показник перевищує 50%, а середній строк використання устаткування на більшості підприємств становить понад 20 років). За обсягу інвестицій в Україні у 10% від ВВП, тоді як у к</w:t>
      </w:r>
      <w:r>
        <w:t>раїнах, що розвивалися швидкими темпами протягом кількох останніх десятиліть, ця норма становила до 40%, досягти стійких темпів економіч</w:t>
      </w:r>
      <w:r>
        <w:softHyphen/>
        <w:t>ного зростання буде проблематично. Відтак очевидно, що перспективи забезпечення стійкого економічного зростання залежат</w:t>
      </w:r>
      <w:r>
        <w:t>имуть не лише від здатності банків забезпечити поточні потреби підприємств у поповненні коштів на формування оборотного капіталу, а й здатності фінансувати широ</w:t>
      </w:r>
      <w:r>
        <w:softHyphen/>
        <w:t>комасштабні проекти із забезпечення інвестиційних потреб реального сектору, що визначається пер</w:t>
      </w:r>
      <w:r>
        <w:t>едусім спроможністю банків акумулювати належний обсяг довгострокових ресурсів.</w:t>
      </w:r>
    </w:p>
    <w:p w:rsidR="00E64849" w:rsidRDefault="00921C76">
      <w:pPr>
        <w:pStyle w:val="a7"/>
        <w:framePr w:w="9106" w:h="7839" w:hRule="exact" w:wrap="around" w:vAnchor="page" w:hAnchor="page" w:x="1406" w:y="1754"/>
        <w:shd w:val="clear" w:color="auto" w:fill="auto"/>
        <w:spacing w:before="0"/>
        <w:ind w:left="40" w:right="20" w:firstLine="280"/>
      </w:pPr>
      <w:r>
        <w:t>Отож, недооцінювання ролі реального сектору економіки в Україні як основної рушійної сили економічного розвитку призвело до втрати конкурентоспроможності вітчизняного виробництв</w:t>
      </w:r>
      <w:r>
        <w:t>а, перетворення країни в сировинний придаток розвинутих держав та споживача імпортованих товарів. Вихід із ситуації, що склалася, потребує упровадження нової моделі розвитку економіки, яка базувалася б на інвестиційно-інноваційній основі. Для її реалізації</w:t>
      </w:r>
      <w:r>
        <w:t xml:space="preserve"> необхідні реальні джерела інвестиційних коштів. Одне з найважливіших внутрішніх джерел таких ресурсів в Україні - це банківські кредити.</w:t>
      </w:r>
    </w:p>
    <w:p w:rsidR="00E64849" w:rsidRDefault="00921C76">
      <w:pPr>
        <w:pStyle w:val="a7"/>
        <w:framePr w:w="9106" w:h="7839" w:hRule="exact" w:wrap="around" w:vAnchor="page" w:hAnchor="page" w:x="1406" w:y="1754"/>
        <w:shd w:val="clear" w:color="auto" w:fill="auto"/>
        <w:spacing w:before="0"/>
        <w:ind w:left="40" w:right="20" w:firstLine="280"/>
      </w:pPr>
      <w:r>
        <w:t>Дослідження макроекономічного впливу банківської системи на реальний сектор економіки Укра</w:t>
      </w:r>
      <w:r>
        <w:softHyphen/>
        <w:t>їни дало змогу виявити такі</w:t>
      </w:r>
      <w:r>
        <w:t xml:space="preserve"> основні тренди. Протягом 2008-2012 </w:t>
      </w:r>
      <w:r>
        <w:rPr>
          <w:lang w:val="en-US" w:eastAsia="en-US" w:bidi="en-US"/>
        </w:rPr>
        <w:t xml:space="preserve">pp. </w:t>
      </w:r>
      <w:r>
        <w:t>кредитування нефінансових корпорацій поступово зростало із 443,7 млрд. грн. у 2008 р. до 601,1 млрд. грн. у 2012 р. За станом на 01.01.2013 р. частка кредитів нефінансових корпорацій у загальному обсязі кредитів стан</w:t>
      </w:r>
      <w:r>
        <w:t>овить 76,3% [2].</w:t>
      </w:r>
    </w:p>
    <w:p w:rsidR="00E64849" w:rsidRDefault="00921C76">
      <w:pPr>
        <w:pStyle w:val="a7"/>
        <w:framePr w:w="9106" w:h="7839" w:hRule="exact" w:wrap="around" w:vAnchor="page" w:hAnchor="page" w:x="1406" w:y="1754"/>
        <w:shd w:val="clear" w:color="auto" w:fill="auto"/>
        <w:spacing w:before="0"/>
        <w:ind w:left="40" w:right="20" w:firstLine="280"/>
      </w:pPr>
      <w:r>
        <w:t xml:space="preserve">Втім, лише за перших ознак економічного спаду банківські установи починають активно переглядати власну кредитну політику у бік посилення вимог до позичальників і максимального обмеження кредитних операцій, зменшуючи таким чином пропозицію </w:t>
      </w:r>
      <w:r>
        <w:t>грошей в економіці і поглиблюючи кризові процеси.</w:t>
      </w:r>
    </w:p>
    <w:p w:rsidR="00E64849" w:rsidRDefault="00921C76">
      <w:pPr>
        <w:pStyle w:val="a7"/>
        <w:framePr w:w="9106" w:h="7839" w:hRule="exact" w:wrap="around" w:vAnchor="page" w:hAnchor="page" w:x="1406" w:y="1754"/>
        <w:shd w:val="clear" w:color="auto" w:fill="auto"/>
        <w:spacing w:before="0"/>
        <w:ind w:left="40" w:right="20" w:firstLine="280"/>
      </w:pPr>
      <w:r>
        <w:t>Нині, на основі проведеного аналізу динаміки кредитів, наданих нефінансовим корпораціям, за цільовим спрямуванням, кредитування саме поточної діяльності залишається домінуючим: його питома вага за останні п</w:t>
      </w:r>
      <w:r>
        <w:t>’ять років становила щонайменше 80%. Кредити в інвестиційну діяльність становлять не більше 15% і спостерігається спадна тенденція. Кредити на придбання, будівництво та реконструкцію нерухомості у 2008 р. порівняно з 2012 р. скоротилися на 2,7% (табл. 1) [</w:t>
      </w:r>
      <w:r>
        <w:t>2].</w:t>
      </w:r>
    </w:p>
    <w:p w:rsidR="00E64849" w:rsidRDefault="00921C76">
      <w:pPr>
        <w:pStyle w:val="30"/>
        <w:framePr w:w="9106" w:h="7839" w:hRule="exact" w:wrap="around" w:vAnchor="page" w:hAnchor="page" w:x="1406" w:y="1754"/>
        <w:shd w:val="clear" w:color="auto" w:fill="auto"/>
        <w:spacing w:before="0" w:after="0"/>
        <w:ind w:right="20" w:firstLine="0"/>
        <w:jc w:val="right"/>
      </w:pPr>
      <w:r>
        <w:t>Таблиця 1</w:t>
      </w:r>
    </w:p>
    <w:p w:rsidR="00E64849" w:rsidRDefault="00921C76">
      <w:pPr>
        <w:pStyle w:val="50"/>
        <w:framePr w:w="9106" w:h="7839" w:hRule="exact" w:wrap="around" w:vAnchor="page" w:hAnchor="page" w:x="1406" w:y="1754"/>
        <w:shd w:val="clear" w:color="auto" w:fill="auto"/>
        <w:spacing w:after="0"/>
        <w:ind w:left="2380" w:right="2280"/>
      </w:pPr>
      <w:r>
        <w:t xml:space="preserve">Кредити, надані нефінансовим корпораціям, за цільовим спрямуванням у 2008-2012 </w:t>
      </w:r>
      <w:r>
        <w:rPr>
          <w:lang w:val="en-US" w:eastAsia="en-US" w:bidi="en-US"/>
        </w:rPr>
        <w:t>pp.</w:t>
      </w:r>
      <w:r>
        <w:rPr>
          <w:rStyle w:val="50pt"/>
        </w:rPr>
        <w:t>*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66"/>
        <w:gridCol w:w="912"/>
        <w:gridCol w:w="475"/>
        <w:gridCol w:w="1075"/>
        <w:gridCol w:w="432"/>
        <w:gridCol w:w="955"/>
        <w:gridCol w:w="610"/>
        <w:gridCol w:w="941"/>
        <w:gridCol w:w="466"/>
        <w:gridCol w:w="965"/>
        <w:gridCol w:w="590"/>
      </w:tblGrid>
      <w:tr w:rsidR="00E64849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849" w:rsidRDefault="00921C76">
            <w:pPr>
              <w:pStyle w:val="a7"/>
              <w:framePr w:w="9086" w:h="3106" w:wrap="around" w:vAnchor="page" w:hAnchor="page" w:x="1411" w:y="9764"/>
              <w:shd w:val="clear" w:color="auto" w:fill="auto"/>
              <w:spacing w:before="0" w:line="130" w:lineRule="exact"/>
              <w:jc w:val="center"/>
            </w:pPr>
            <w:r>
              <w:rPr>
                <w:rStyle w:val="65pt0pt"/>
              </w:rPr>
              <w:t>Показники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849" w:rsidRDefault="00921C76">
            <w:pPr>
              <w:pStyle w:val="a7"/>
              <w:framePr w:w="9086" w:h="3106" w:wrap="around" w:vAnchor="page" w:hAnchor="page" w:x="1411" w:y="9764"/>
              <w:shd w:val="clear" w:color="auto" w:fill="auto"/>
              <w:spacing w:before="0" w:line="130" w:lineRule="exact"/>
              <w:jc w:val="center"/>
            </w:pPr>
            <w:r>
              <w:rPr>
                <w:rStyle w:val="65pt0pt"/>
              </w:rPr>
              <w:t>2008 р.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849" w:rsidRDefault="00921C76">
            <w:pPr>
              <w:pStyle w:val="a7"/>
              <w:framePr w:w="9086" w:h="3106" w:wrap="around" w:vAnchor="page" w:hAnchor="page" w:x="1411" w:y="9764"/>
              <w:shd w:val="clear" w:color="auto" w:fill="auto"/>
              <w:spacing w:before="0" w:line="130" w:lineRule="exact"/>
              <w:jc w:val="center"/>
            </w:pPr>
            <w:r>
              <w:rPr>
                <w:rStyle w:val="65pt0pt"/>
              </w:rPr>
              <w:t>2009 р.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849" w:rsidRDefault="00921C76">
            <w:pPr>
              <w:pStyle w:val="a7"/>
              <w:framePr w:w="9086" w:h="3106" w:wrap="around" w:vAnchor="page" w:hAnchor="page" w:x="1411" w:y="9764"/>
              <w:shd w:val="clear" w:color="auto" w:fill="auto"/>
              <w:spacing w:before="0" w:line="130" w:lineRule="exact"/>
              <w:jc w:val="center"/>
            </w:pPr>
            <w:r>
              <w:rPr>
                <w:rStyle w:val="65pt0pt"/>
              </w:rPr>
              <w:t>2010 р.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849" w:rsidRDefault="00921C76">
            <w:pPr>
              <w:pStyle w:val="a7"/>
              <w:framePr w:w="9086" w:h="3106" w:wrap="around" w:vAnchor="page" w:hAnchor="page" w:x="1411" w:y="9764"/>
              <w:shd w:val="clear" w:color="auto" w:fill="auto"/>
              <w:spacing w:before="0" w:line="130" w:lineRule="exact"/>
              <w:jc w:val="center"/>
            </w:pPr>
            <w:r>
              <w:rPr>
                <w:rStyle w:val="65pt0pt"/>
              </w:rPr>
              <w:t>2011 р.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849" w:rsidRDefault="00921C76">
            <w:pPr>
              <w:pStyle w:val="a7"/>
              <w:framePr w:w="9086" w:h="3106" w:wrap="around" w:vAnchor="page" w:hAnchor="page" w:x="1411" w:y="9764"/>
              <w:shd w:val="clear" w:color="auto" w:fill="auto"/>
              <w:spacing w:before="0" w:line="130" w:lineRule="exact"/>
              <w:jc w:val="center"/>
            </w:pPr>
            <w:r>
              <w:rPr>
                <w:rStyle w:val="65pt0pt"/>
              </w:rPr>
              <w:t>2012 р.</w:t>
            </w:r>
          </w:p>
        </w:tc>
      </w:tr>
      <w:tr w:rsidR="00E64849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4849" w:rsidRDefault="00E64849">
            <w:pPr>
              <w:framePr w:w="9086" w:h="3106" w:wrap="around" w:vAnchor="page" w:hAnchor="page" w:x="1411" w:y="9764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849" w:rsidRDefault="00921C76">
            <w:pPr>
              <w:pStyle w:val="a7"/>
              <w:framePr w:w="9086" w:h="3106" w:wrap="around" w:vAnchor="page" w:hAnchor="page" w:x="1411" w:y="9764"/>
              <w:shd w:val="clear" w:color="auto" w:fill="auto"/>
              <w:spacing w:before="0" w:line="178" w:lineRule="exact"/>
              <w:jc w:val="center"/>
            </w:pPr>
            <w:r>
              <w:rPr>
                <w:rStyle w:val="7pt"/>
              </w:rPr>
              <w:t>Обсяг, млрд. грн.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849" w:rsidRDefault="00921C76">
            <w:pPr>
              <w:pStyle w:val="a7"/>
              <w:framePr w:w="9086" w:h="3106" w:wrap="around" w:vAnchor="page" w:hAnchor="page" w:x="1411" w:y="9764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%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849" w:rsidRDefault="00921C76">
            <w:pPr>
              <w:pStyle w:val="a7"/>
              <w:framePr w:w="9086" w:h="3106" w:wrap="around" w:vAnchor="page" w:hAnchor="page" w:x="1411" w:y="9764"/>
              <w:shd w:val="clear" w:color="auto" w:fill="auto"/>
              <w:spacing w:before="0" w:line="178" w:lineRule="exact"/>
              <w:jc w:val="center"/>
            </w:pPr>
            <w:r>
              <w:rPr>
                <w:rStyle w:val="7pt"/>
              </w:rPr>
              <w:t>Обсяг, млрд. грн.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849" w:rsidRDefault="00921C76">
            <w:pPr>
              <w:pStyle w:val="a7"/>
              <w:framePr w:w="9086" w:h="3106" w:wrap="around" w:vAnchor="page" w:hAnchor="page" w:x="1411" w:y="9764"/>
              <w:shd w:val="clear" w:color="auto" w:fill="auto"/>
              <w:spacing w:before="0" w:line="140" w:lineRule="exact"/>
              <w:ind w:left="160"/>
              <w:jc w:val="left"/>
            </w:pPr>
            <w:r>
              <w:rPr>
                <w:rStyle w:val="7pt"/>
              </w:rPr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849" w:rsidRDefault="00921C76">
            <w:pPr>
              <w:pStyle w:val="a7"/>
              <w:framePr w:w="9086" w:h="3106" w:wrap="around" w:vAnchor="page" w:hAnchor="page" w:x="1411" w:y="9764"/>
              <w:shd w:val="clear" w:color="auto" w:fill="auto"/>
              <w:spacing w:before="0" w:line="178" w:lineRule="exact"/>
              <w:jc w:val="center"/>
            </w:pPr>
            <w:r>
              <w:rPr>
                <w:rStyle w:val="7pt"/>
              </w:rPr>
              <w:t>Обсяг, млрд. грн.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849" w:rsidRDefault="00921C76">
            <w:pPr>
              <w:pStyle w:val="a7"/>
              <w:framePr w:w="9086" w:h="3106" w:wrap="around" w:vAnchor="page" w:hAnchor="page" w:x="1411" w:y="9764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849" w:rsidRDefault="00921C76">
            <w:pPr>
              <w:pStyle w:val="a7"/>
              <w:framePr w:w="9086" w:h="3106" w:wrap="around" w:vAnchor="page" w:hAnchor="page" w:x="1411" w:y="9764"/>
              <w:shd w:val="clear" w:color="auto" w:fill="auto"/>
              <w:spacing w:before="0" w:line="178" w:lineRule="exact"/>
              <w:jc w:val="center"/>
            </w:pPr>
            <w:r>
              <w:rPr>
                <w:rStyle w:val="7pt"/>
              </w:rPr>
              <w:t>Обсяг, млрд. грн.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849" w:rsidRDefault="00921C76">
            <w:pPr>
              <w:pStyle w:val="a7"/>
              <w:framePr w:w="9086" w:h="3106" w:wrap="around" w:vAnchor="page" w:hAnchor="page" w:x="1411" w:y="9764"/>
              <w:shd w:val="clear" w:color="auto" w:fill="auto"/>
              <w:spacing w:before="0" w:line="140" w:lineRule="exact"/>
              <w:ind w:left="180"/>
              <w:jc w:val="left"/>
            </w:pPr>
            <w:r>
              <w:rPr>
                <w:rStyle w:val="7pt"/>
              </w:rPr>
              <w:t>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849" w:rsidRDefault="00921C76">
            <w:pPr>
              <w:pStyle w:val="a7"/>
              <w:framePr w:w="9086" w:h="3106" w:wrap="around" w:vAnchor="page" w:hAnchor="page" w:x="1411" w:y="9764"/>
              <w:shd w:val="clear" w:color="auto" w:fill="auto"/>
              <w:spacing w:before="0" w:line="178" w:lineRule="exact"/>
              <w:jc w:val="center"/>
            </w:pPr>
            <w:r>
              <w:rPr>
                <w:rStyle w:val="7pt"/>
              </w:rPr>
              <w:t>Обсяг, млрд. грн.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849" w:rsidRDefault="00921C76">
            <w:pPr>
              <w:pStyle w:val="a7"/>
              <w:framePr w:w="9086" w:h="3106" w:wrap="around" w:vAnchor="page" w:hAnchor="page" w:x="1411" w:y="9764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%</w:t>
            </w:r>
          </w:p>
        </w:tc>
      </w:tr>
      <w:tr w:rsidR="00E64849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849" w:rsidRDefault="00921C76">
            <w:pPr>
              <w:pStyle w:val="a7"/>
              <w:framePr w:w="9086" w:h="3106" w:wrap="around" w:vAnchor="page" w:hAnchor="page" w:x="1411" w:y="9764"/>
              <w:shd w:val="clear" w:color="auto" w:fill="auto"/>
              <w:spacing w:before="0" w:line="178" w:lineRule="exact"/>
              <w:ind w:left="120"/>
              <w:jc w:val="left"/>
            </w:pPr>
            <w:r>
              <w:rPr>
                <w:rStyle w:val="7pt"/>
              </w:rPr>
              <w:t>Кредити, надані нефінансовим корпораціям, з них: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849" w:rsidRDefault="00921C76">
            <w:pPr>
              <w:pStyle w:val="a7"/>
              <w:framePr w:w="9086" w:h="3106" w:wrap="around" w:vAnchor="page" w:hAnchor="page" w:x="1411" w:y="9764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443,7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849" w:rsidRDefault="00921C76">
            <w:pPr>
              <w:pStyle w:val="a7"/>
              <w:framePr w:w="9086" w:h="3106" w:wrap="around" w:vAnchor="page" w:hAnchor="page" w:x="1411" w:y="9764"/>
              <w:shd w:val="clear" w:color="auto" w:fill="auto"/>
              <w:spacing w:before="0" w:line="140" w:lineRule="exact"/>
              <w:ind w:left="120"/>
              <w:jc w:val="left"/>
            </w:pPr>
            <w:r>
              <w:rPr>
                <w:rStyle w:val="7pt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849" w:rsidRDefault="00921C76">
            <w:pPr>
              <w:pStyle w:val="a7"/>
              <w:framePr w:w="9086" w:h="3106" w:wrap="around" w:vAnchor="page" w:hAnchor="page" w:x="1411" w:y="9764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462,2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849" w:rsidRDefault="00921C76">
            <w:pPr>
              <w:pStyle w:val="a7"/>
              <w:framePr w:w="9086" w:h="3106" w:wrap="around" w:vAnchor="page" w:hAnchor="page" w:x="1411" w:y="9764"/>
              <w:shd w:val="clear" w:color="auto" w:fill="auto"/>
              <w:spacing w:before="0" w:line="140" w:lineRule="exact"/>
              <w:ind w:left="80"/>
              <w:jc w:val="left"/>
            </w:pPr>
            <w:r>
              <w:rPr>
                <w:rStyle w:val="7pt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849" w:rsidRDefault="00921C76">
            <w:pPr>
              <w:pStyle w:val="a7"/>
              <w:framePr w:w="9086" w:h="3106" w:wrap="around" w:vAnchor="page" w:hAnchor="page" w:x="1411" w:y="9764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500,9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849" w:rsidRDefault="00921C76">
            <w:pPr>
              <w:pStyle w:val="a7"/>
              <w:framePr w:w="9086" w:h="3106" w:wrap="around" w:vAnchor="page" w:hAnchor="page" w:x="1411" w:y="9764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849" w:rsidRDefault="00921C76">
            <w:pPr>
              <w:pStyle w:val="a7"/>
              <w:framePr w:w="9086" w:h="3106" w:wrap="around" w:vAnchor="page" w:hAnchor="page" w:x="1411" w:y="9764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575,5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849" w:rsidRDefault="00921C76">
            <w:pPr>
              <w:pStyle w:val="a7"/>
              <w:framePr w:w="9086" w:h="3106" w:wrap="around" w:vAnchor="page" w:hAnchor="page" w:x="1411" w:y="9764"/>
              <w:shd w:val="clear" w:color="auto" w:fill="auto"/>
              <w:spacing w:before="0" w:line="140" w:lineRule="exact"/>
              <w:ind w:left="120"/>
              <w:jc w:val="left"/>
            </w:pPr>
            <w:r>
              <w:rPr>
                <w:rStyle w:val="7pt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849" w:rsidRDefault="00921C76">
            <w:pPr>
              <w:pStyle w:val="a7"/>
              <w:framePr w:w="9086" w:h="3106" w:wrap="around" w:vAnchor="page" w:hAnchor="page" w:x="1411" w:y="9764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601,1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4849" w:rsidRDefault="00921C76">
            <w:pPr>
              <w:pStyle w:val="a7"/>
              <w:framePr w:w="9086" w:h="3106" w:wrap="around" w:vAnchor="page" w:hAnchor="page" w:x="1411" w:y="9764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100</w:t>
            </w:r>
          </w:p>
        </w:tc>
      </w:tr>
      <w:tr w:rsidR="00E64849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849" w:rsidRDefault="00921C76">
            <w:pPr>
              <w:pStyle w:val="a7"/>
              <w:framePr w:w="9086" w:h="3106" w:wrap="around" w:vAnchor="page" w:hAnchor="page" w:x="1411" w:y="9764"/>
              <w:shd w:val="clear" w:color="auto" w:fill="auto"/>
              <w:spacing w:before="0" w:line="178" w:lineRule="exact"/>
              <w:ind w:left="120"/>
              <w:jc w:val="left"/>
            </w:pPr>
            <w:r>
              <w:rPr>
                <w:rStyle w:val="7pt"/>
              </w:rPr>
              <w:t>1.1. У поточну діяльність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849" w:rsidRDefault="00921C76">
            <w:pPr>
              <w:pStyle w:val="a7"/>
              <w:framePr w:w="9086" w:h="3106" w:wrap="around" w:vAnchor="page" w:hAnchor="page" w:x="1411" w:y="9764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359,1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849" w:rsidRDefault="00921C76">
            <w:pPr>
              <w:pStyle w:val="a7"/>
              <w:framePr w:w="9086" w:h="3106" w:wrap="around" w:vAnchor="page" w:hAnchor="page" w:x="1411" w:y="9764"/>
              <w:shd w:val="clear" w:color="auto" w:fill="auto"/>
              <w:spacing w:before="0" w:line="140" w:lineRule="exact"/>
              <w:ind w:left="120"/>
              <w:jc w:val="left"/>
            </w:pPr>
            <w:r>
              <w:rPr>
                <w:rStyle w:val="7pt"/>
              </w:rPr>
              <w:t>80,9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849" w:rsidRDefault="00921C76">
            <w:pPr>
              <w:pStyle w:val="a7"/>
              <w:framePr w:w="9086" w:h="3106" w:wrap="around" w:vAnchor="page" w:hAnchor="page" w:x="1411" w:y="9764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373,6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849" w:rsidRDefault="00921C76">
            <w:pPr>
              <w:pStyle w:val="a7"/>
              <w:framePr w:w="9086" w:h="3106" w:wrap="around" w:vAnchor="page" w:hAnchor="page" w:x="1411" w:y="9764"/>
              <w:shd w:val="clear" w:color="auto" w:fill="auto"/>
              <w:spacing w:before="0" w:line="140" w:lineRule="exact"/>
              <w:ind w:left="80"/>
              <w:jc w:val="left"/>
            </w:pPr>
            <w:r>
              <w:rPr>
                <w:rStyle w:val="7pt"/>
              </w:rPr>
              <w:t>80,8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849" w:rsidRDefault="00921C76">
            <w:pPr>
              <w:pStyle w:val="a7"/>
              <w:framePr w:w="9086" w:h="3106" w:wrap="around" w:vAnchor="page" w:hAnchor="page" w:x="1411" w:y="9764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415,7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849" w:rsidRDefault="00921C76">
            <w:pPr>
              <w:pStyle w:val="a7"/>
              <w:framePr w:w="9086" w:h="3106" w:wrap="around" w:vAnchor="page" w:hAnchor="page" w:x="1411" w:y="9764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82,9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849" w:rsidRDefault="00921C76">
            <w:pPr>
              <w:pStyle w:val="a7"/>
              <w:framePr w:w="9086" w:h="3106" w:wrap="around" w:vAnchor="page" w:hAnchor="page" w:x="1411" w:y="9764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484,2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849" w:rsidRDefault="00921C76">
            <w:pPr>
              <w:pStyle w:val="a7"/>
              <w:framePr w:w="9086" w:h="3106" w:wrap="around" w:vAnchor="page" w:hAnchor="page" w:x="1411" w:y="9764"/>
              <w:shd w:val="clear" w:color="auto" w:fill="auto"/>
              <w:spacing w:before="0" w:line="140" w:lineRule="exact"/>
              <w:ind w:left="120"/>
              <w:jc w:val="left"/>
            </w:pPr>
            <w:r>
              <w:rPr>
                <w:rStyle w:val="7pt"/>
              </w:rPr>
              <w:t>84,1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849" w:rsidRDefault="00921C76">
            <w:pPr>
              <w:pStyle w:val="a7"/>
              <w:framePr w:w="9086" w:h="3106" w:wrap="around" w:vAnchor="page" w:hAnchor="page" w:x="1411" w:y="9764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509,5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849" w:rsidRDefault="00921C76">
            <w:pPr>
              <w:pStyle w:val="a7"/>
              <w:framePr w:w="9086" w:h="3106" w:wrap="around" w:vAnchor="page" w:hAnchor="page" w:x="1411" w:y="9764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84,8</w:t>
            </w:r>
          </w:p>
        </w:tc>
      </w:tr>
      <w:tr w:rsidR="00E64849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849" w:rsidRDefault="00921C76">
            <w:pPr>
              <w:pStyle w:val="a7"/>
              <w:framePr w:w="9086" w:h="3106" w:wrap="around" w:vAnchor="page" w:hAnchor="page" w:x="1411" w:y="9764"/>
              <w:shd w:val="clear" w:color="auto" w:fill="auto"/>
              <w:spacing w:before="0" w:line="178" w:lineRule="exact"/>
              <w:ind w:left="120"/>
              <w:jc w:val="left"/>
            </w:pPr>
            <w:r>
              <w:rPr>
                <w:rStyle w:val="7pt"/>
              </w:rPr>
              <w:t>1.2. В інвестиційну діяльність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849" w:rsidRDefault="00921C76">
            <w:pPr>
              <w:pStyle w:val="a7"/>
              <w:framePr w:w="9086" w:h="3106" w:wrap="around" w:vAnchor="page" w:hAnchor="page" w:x="1411" w:y="9764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66,3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849" w:rsidRDefault="00921C76">
            <w:pPr>
              <w:pStyle w:val="a7"/>
              <w:framePr w:w="9086" w:h="3106" w:wrap="around" w:vAnchor="page" w:hAnchor="page" w:x="1411" w:y="9764"/>
              <w:shd w:val="clear" w:color="auto" w:fill="auto"/>
              <w:spacing w:before="0" w:line="140" w:lineRule="exact"/>
              <w:ind w:left="120"/>
              <w:jc w:val="left"/>
            </w:pPr>
            <w:r>
              <w:rPr>
                <w:rStyle w:val="7pt"/>
              </w:rPr>
              <w:t>15,0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849" w:rsidRDefault="00921C76">
            <w:pPr>
              <w:pStyle w:val="a7"/>
              <w:framePr w:w="9086" w:h="3106" w:wrap="around" w:vAnchor="page" w:hAnchor="page" w:x="1411" w:y="9764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70,8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849" w:rsidRDefault="00921C76">
            <w:pPr>
              <w:pStyle w:val="a7"/>
              <w:framePr w:w="9086" w:h="3106" w:wrap="around" w:vAnchor="page" w:hAnchor="page" w:x="1411" w:y="9764"/>
              <w:shd w:val="clear" w:color="auto" w:fill="auto"/>
              <w:spacing w:before="0" w:line="140" w:lineRule="exact"/>
              <w:ind w:left="80"/>
              <w:jc w:val="left"/>
            </w:pPr>
            <w:r>
              <w:rPr>
                <w:rStyle w:val="7pt"/>
              </w:rPr>
              <w:t>15,3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849" w:rsidRDefault="00921C76">
            <w:pPr>
              <w:pStyle w:val="a7"/>
              <w:framePr w:w="9086" w:h="3106" w:wrap="around" w:vAnchor="page" w:hAnchor="page" w:x="1411" w:y="9764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71,6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849" w:rsidRDefault="00921C76">
            <w:pPr>
              <w:pStyle w:val="a7"/>
              <w:framePr w:w="9086" w:h="3106" w:wrap="around" w:vAnchor="page" w:hAnchor="page" w:x="1411" w:y="9764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14,3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849" w:rsidRDefault="00921C76">
            <w:pPr>
              <w:pStyle w:val="a7"/>
              <w:framePr w:w="9086" w:h="3106" w:wrap="around" w:vAnchor="page" w:hAnchor="page" w:x="1411" w:y="9764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80,9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849" w:rsidRDefault="00921C76">
            <w:pPr>
              <w:pStyle w:val="a7"/>
              <w:framePr w:w="9086" w:h="3106" w:wrap="around" w:vAnchor="page" w:hAnchor="page" w:x="1411" w:y="9764"/>
              <w:shd w:val="clear" w:color="auto" w:fill="auto"/>
              <w:spacing w:before="0" w:line="140" w:lineRule="exact"/>
              <w:ind w:left="120"/>
              <w:jc w:val="left"/>
            </w:pPr>
            <w:r>
              <w:rPr>
                <w:rStyle w:val="7pt"/>
              </w:rPr>
              <w:t>14,1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849" w:rsidRDefault="00921C76">
            <w:pPr>
              <w:pStyle w:val="a7"/>
              <w:framePr w:w="9086" w:h="3106" w:wrap="around" w:vAnchor="page" w:hAnchor="page" w:x="1411" w:y="9764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82,9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849" w:rsidRDefault="00921C76">
            <w:pPr>
              <w:pStyle w:val="a7"/>
              <w:framePr w:w="9086" w:h="3106" w:wrap="around" w:vAnchor="page" w:hAnchor="page" w:x="1411" w:y="9764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13,8</w:t>
            </w:r>
          </w:p>
        </w:tc>
      </w:tr>
      <w:tr w:rsidR="00E64849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4849" w:rsidRDefault="00921C76">
            <w:pPr>
              <w:pStyle w:val="a7"/>
              <w:framePr w:w="9086" w:h="3106" w:wrap="around" w:vAnchor="page" w:hAnchor="page" w:x="1411" w:y="9764"/>
              <w:shd w:val="clear" w:color="auto" w:fill="auto"/>
              <w:spacing w:before="0" w:line="178" w:lineRule="exact"/>
              <w:ind w:left="120"/>
              <w:jc w:val="left"/>
            </w:pPr>
            <w:r>
              <w:rPr>
                <w:rStyle w:val="7pt"/>
              </w:rPr>
              <w:t>1.3. На придбання, будівництво та реконструкцію нерухомості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849" w:rsidRDefault="00921C76">
            <w:pPr>
              <w:pStyle w:val="a7"/>
              <w:framePr w:w="9086" w:h="3106" w:wrap="around" w:vAnchor="page" w:hAnchor="page" w:x="1411" w:y="9764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18,3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849" w:rsidRDefault="00921C76">
            <w:pPr>
              <w:pStyle w:val="a7"/>
              <w:framePr w:w="9086" w:h="3106" w:wrap="around" w:vAnchor="page" w:hAnchor="page" w:x="1411" w:y="9764"/>
              <w:shd w:val="clear" w:color="auto" w:fill="auto"/>
              <w:spacing w:before="0" w:line="140" w:lineRule="exact"/>
              <w:ind w:left="120"/>
              <w:jc w:val="left"/>
            </w:pPr>
            <w:r>
              <w:rPr>
                <w:rStyle w:val="7pt"/>
              </w:rPr>
              <w:t>4,1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849" w:rsidRDefault="00921C76">
            <w:pPr>
              <w:pStyle w:val="a7"/>
              <w:framePr w:w="9086" w:h="3106" w:wrap="around" w:vAnchor="page" w:hAnchor="page" w:x="1411" w:y="9764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17,7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849" w:rsidRDefault="00921C76">
            <w:pPr>
              <w:pStyle w:val="a7"/>
              <w:framePr w:w="9086" w:h="3106" w:wrap="around" w:vAnchor="page" w:hAnchor="page" w:x="1411" w:y="9764"/>
              <w:shd w:val="clear" w:color="auto" w:fill="auto"/>
              <w:spacing w:before="0" w:line="140" w:lineRule="exact"/>
              <w:ind w:left="80"/>
              <w:jc w:val="left"/>
            </w:pPr>
            <w:r>
              <w:rPr>
                <w:rStyle w:val="7pt"/>
              </w:rPr>
              <w:t>3,9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849" w:rsidRDefault="00921C76">
            <w:pPr>
              <w:pStyle w:val="a7"/>
              <w:framePr w:w="9086" w:h="3106" w:wrap="around" w:vAnchor="page" w:hAnchor="page" w:x="1411" w:y="9764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13,6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4849" w:rsidRDefault="00921C76">
            <w:pPr>
              <w:pStyle w:val="a7"/>
              <w:framePr w:w="9086" w:h="3106" w:wrap="around" w:vAnchor="page" w:hAnchor="page" w:x="1411" w:y="9764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2,8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849" w:rsidRDefault="00921C76">
            <w:pPr>
              <w:pStyle w:val="a7"/>
              <w:framePr w:w="9086" w:h="3106" w:wrap="around" w:vAnchor="page" w:hAnchor="page" w:x="1411" w:y="9764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10,3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4849" w:rsidRDefault="00921C76">
            <w:pPr>
              <w:pStyle w:val="a7"/>
              <w:framePr w:w="9086" w:h="3106" w:wrap="around" w:vAnchor="page" w:hAnchor="page" w:x="1411" w:y="9764"/>
              <w:shd w:val="clear" w:color="auto" w:fill="auto"/>
              <w:spacing w:before="0" w:line="140" w:lineRule="exact"/>
              <w:ind w:left="120"/>
              <w:jc w:val="left"/>
            </w:pPr>
            <w:r>
              <w:rPr>
                <w:rStyle w:val="7pt"/>
              </w:rPr>
              <w:t>1,8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4849" w:rsidRDefault="00921C76">
            <w:pPr>
              <w:pStyle w:val="a7"/>
              <w:framePr w:w="9086" w:h="3106" w:wrap="around" w:vAnchor="page" w:hAnchor="page" w:x="1411" w:y="9764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8,8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849" w:rsidRDefault="00921C76">
            <w:pPr>
              <w:pStyle w:val="a7"/>
              <w:framePr w:w="9086" w:h="3106" w:wrap="around" w:vAnchor="page" w:hAnchor="page" w:x="1411" w:y="9764"/>
              <w:shd w:val="clear" w:color="auto" w:fill="auto"/>
              <w:spacing w:before="0" w:line="140" w:lineRule="exact"/>
              <w:jc w:val="center"/>
            </w:pPr>
            <w:r>
              <w:rPr>
                <w:rStyle w:val="7pt"/>
              </w:rPr>
              <w:t>1,4</w:t>
            </w:r>
          </w:p>
        </w:tc>
      </w:tr>
    </w:tbl>
    <w:p w:rsidR="00E64849" w:rsidRDefault="00921C76">
      <w:pPr>
        <w:pStyle w:val="a9"/>
        <w:framePr w:wrap="around" w:vAnchor="page" w:hAnchor="page" w:x="1608" w:y="13032"/>
        <w:shd w:val="clear" w:color="auto" w:fill="auto"/>
        <w:spacing w:line="150" w:lineRule="exact"/>
      </w:pPr>
      <w:r>
        <w:t xml:space="preserve">‘Розраховано за даними НБУ [Електронний ресурс]. - Режим доступу : </w:t>
      </w:r>
      <w:r>
        <w:rPr>
          <w:lang w:val="en-US" w:eastAsia="en-US" w:bidi="en-US"/>
        </w:rPr>
        <w:t>http://www.bank.gov.ua.</w:t>
      </w:r>
    </w:p>
    <w:p w:rsidR="00E64849" w:rsidRDefault="00921C76">
      <w:pPr>
        <w:pStyle w:val="a7"/>
        <w:framePr w:w="9106" w:h="1561" w:hRule="exact" w:wrap="around" w:vAnchor="page" w:hAnchor="page" w:x="1406" w:y="13485"/>
        <w:shd w:val="clear" w:color="auto" w:fill="auto"/>
        <w:spacing w:before="0"/>
        <w:ind w:left="40" w:right="20" w:firstLine="280"/>
      </w:pPr>
      <w:r>
        <w:t xml:space="preserve">За термінами погашення позички нефінансовим </w:t>
      </w:r>
      <w:r>
        <w:t>корпораціям відображають позитивну тенденцію у збільшенні частки короткострокових кредитів і станом на початок 2013 р. становлять 297,7 млрд., грн. або 49,1%, що на 6,2% більше, ніжу 2008 р. Однак кредити терміном більше 5 років у загальній сукупності мают</w:t>
      </w:r>
      <w:r>
        <w:t>ь доволі низьку частку в розмірі 12,2%, що свідчить про більшу необхідність запозичених коштів на підтримку поточної діяльності, а не на модернізацію та удосконалення виробництва (рис. 1) [2].</w:t>
      </w:r>
    </w:p>
    <w:p w:rsidR="00E64849" w:rsidRDefault="00921C76">
      <w:pPr>
        <w:pStyle w:val="a5"/>
        <w:framePr w:wrap="around" w:vAnchor="page" w:hAnchor="page" w:x="1401" w:y="15570"/>
        <w:shd w:val="clear" w:color="auto" w:fill="auto"/>
        <w:spacing w:line="170" w:lineRule="exact"/>
        <w:ind w:left="20"/>
      </w:pPr>
      <w:r>
        <w:t>114</w:t>
      </w:r>
    </w:p>
    <w:p w:rsidR="00E64849" w:rsidRDefault="00921C76">
      <w:pPr>
        <w:pStyle w:val="24"/>
        <w:framePr w:wrap="around" w:vAnchor="page" w:hAnchor="page" w:x="8323" w:y="15576"/>
        <w:shd w:val="clear" w:color="auto" w:fill="auto"/>
        <w:spacing w:line="130" w:lineRule="exact"/>
        <w:ind w:left="20"/>
      </w:pPr>
      <w:r>
        <w:t>Наука молода № 19, 2013 р.</w:t>
      </w:r>
    </w:p>
    <w:p w:rsidR="00E64849" w:rsidRDefault="00E64849">
      <w:pPr>
        <w:rPr>
          <w:sz w:val="2"/>
          <w:szCs w:val="2"/>
        </w:rPr>
        <w:sectPr w:rsidR="00E6484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64849" w:rsidRDefault="00921C76">
      <w:pPr>
        <w:pStyle w:val="a5"/>
        <w:framePr w:wrap="around" w:vAnchor="page" w:hAnchor="page" w:x="5276" w:y="1037"/>
        <w:shd w:val="clear" w:color="auto" w:fill="auto"/>
        <w:spacing w:line="170" w:lineRule="exact"/>
        <w:ind w:left="20"/>
      </w:pPr>
      <w:r>
        <w:lastRenderedPageBreak/>
        <w:t>Перспектив</w:t>
      </w:r>
      <w:r>
        <w:t>и розвитку фінансово-кредитної системи</w:t>
      </w:r>
    </w:p>
    <w:p w:rsidR="00E64849" w:rsidRDefault="00921C76">
      <w:pPr>
        <w:framePr w:wrap="none" w:vAnchor="page" w:hAnchor="page" w:x="1840" w:y="157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126.75pt">
            <v:imagedata r:id="rId7" r:href="rId8"/>
          </v:shape>
        </w:pict>
      </w:r>
    </w:p>
    <w:p w:rsidR="00E64849" w:rsidRDefault="00921C76">
      <w:pPr>
        <w:pStyle w:val="a7"/>
        <w:framePr w:w="1565" w:h="1910" w:hRule="exact" w:wrap="around" w:vAnchor="page" w:hAnchor="page" w:x="8603" w:y="1564"/>
        <w:shd w:val="clear" w:color="auto" w:fill="auto"/>
        <w:spacing w:before="0" w:line="614" w:lineRule="exact"/>
        <w:jc w:val="left"/>
      </w:pPr>
      <w:r>
        <w:t>до 1 року від 1 до 5 років більше 5 років</w:t>
      </w:r>
    </w:p>
    <w:p w:rsidR="00E64849" w:rsidRDefault="00921C76">
      <w:pPr>
        <w:pStyle w:val="a7"/>
        <w:framePr w:w="9130" w:h="231" w:hRule="exact" w:wrap="around" w:vAnchor="page" w:hAnchor="page" w:x="1393" w:y="4325"/>
        <w:shd w:val="clear" w:color="auto" w:fill="auto"/>
        <w:spacing w:before="0" w:line="170" w:lineRule="exact"/>
        <w:jc w:val="left"/>
      </w:pPr>
      <w:r>
        <w:t>Роки</w:t>
      </w:r>
    </w:p>
    <w:p w:rsidR="00E64849" w:rsidRDefault="00921C76">
      <w:pPr>
        <w:pStyle w:val="ab"/>
        <w:framePr w:w="9130" w:h="509" w:hRule="exact" w:wrap="around" w:vAnchor="page" w:hAnchor="page" w:x="1393" w:y="4847"/>
        <w:shd w:val="clear" w:color="auto" w:fill="auto"/>
        <w:spacing w:line="254" w:lineRule="exact"/>
      </w:pPr>
      <w:r>
        <w:rPr>
          <w:rStyle w:val="0pt"/>
          <w:b/>
          <w:bCs/>
        </w:rPr>
        <w:t xml:space="preserve">Рис. 1. </w:t>
      </w:r>
      <w:r>
        <w:t xml:space="preserve">Динаміка кредитів, наданих нефінансовим корпораціям, за строками погашення в Україні у 2008-2012 </w:t>
      </w:r>
      <w:r>
        <w:rPr>
          <w:lang w:val="en-US" w:eastAsia="en-US" w:bidi="en-US"/>
        </w:rPr>
        <w:t>pp.*</w:t>
      </w:r>
    </w:p>
    <w:p w:rsidR="00E64849" w:rsidRDefault="00921C76">
      <w:pPr>
        <w:pStyle w:val="60"/>
        <w:framePr w:w="9082" w:h="4373" w:hRule="exact" w:wrap="around" w:vAnchor="page" w:hAnchor="page" w:x="1417" w:y="5511"/>
        <w:shd w:val="clear" w:color="auto" w:fill="auto"/>
        <w:spacing w:after="159" w:line="150" w:lineRule="exact"/>
        <w:ind w:left="180"/>
      </w:pPr>
      <w:r>
        <w:t xml:space="preserve">‘Розраховано за даними НБУ [Електронний ресурс]. - Режим доступу : </w:t>
      </w:r>
      <w:r>
        <w:rPr>
          <w:lang w:val="en-US" w:eastAsia="en-US" w:bidi="en-US"/>
        </w:rPr>
        <w:t>http://www.bank.gov.ua.</w:t>
      </w:r>
    </w:p>
    <w:p w:rsidR="00E64849" w:rsidRDefault="00921C76">
      <w:pPr>
        <w:pStyle w:val="a7"/>
        <w:framePr w:w="9082" w:h="4373" w:hRule="exact" w:wrap="around" w:vAnchor="page" w:hAnchor="page" w:x="1417" w:y="5511"/>
        <w:shd w:val="clear" w:color="auto" w:fill="auto"/>
        <w:spacing w:before="0"/>
        <w:ind w:left="20" w:right="20" w:firstLine="280"/>
      </w:pPr>
      <w:r>
        <w:t>Портфель кредитів, наданих суб’єктам господарювання, мав високу</w:t>
      </w:r>
      <w:r>
        <w:t xml:space="preserve"> концентрацію в трьох видах економічної діяльності - оптовій і роздрібній торгівлі, торгівлі транспортними засобами, послугах ремонту; в обробній промисловості; сільському і лісовому господарстві. У країнах, які пережили кризу, найбільшою в кредитному порт</w:t>
      </w:r>
      <w:r>
        <w:t>фелі була питома вага позичок, наданих будівельним, поліграфічним, туристичним, транспортним, комунальним і торговельним підприємствам. Найбільшими залишалися частки кредитів суб’єктам господарювання торгівлі, ремонту автомобілів, побутових виробів та пред</w:t>
      </w:r>
      <w:r>
        <w:t>метів особистого вжитку (36,5% ), переробної промисловості (20,2%), добувної промисловості (6,4%), суб’єктам господарювання, що займаються операціями з нерухомим майном, орендою, інжинірингом та наданням послуг підприємцям (13,8%), підприємствам сільського</w:t>
      </w:r>
      <w:r>
        <w:t xml:space="preserve"> господарства, мисливства та лісового господарства (6,1%), будівництва (6,6%) [2].</w:t>
      </w:r>
    </w:p>
    <w:p w:rsidR="00E64849" w:rsidRDefault="00921C76">
      <w:pPr>
        <w:pStyle w:val="a7"/>
        <w:framePr w:w="9082" w:h="4373" w:hRule="exact" w:wrap="around" w:vAnchor="page" w:hAnchor="page" w:x="1417" w:y="5511"/>
        <w:shd w:val="clear" w:color="auto" w:fill="auto"/>
        <w:spacing w:before="0"/>
        <w:ind w:left="20" w:right="20" w:firstLine="280"/>
      </w:pPr>
      <w:r>
        <w:t>Проаналізувавши динаміку кредитів, наданих нефінансовим корпораціям, у розрізі валют, слід зазначити, що найбільша часка кредитів припадає у національній валюті - 393,2 млрд</w:t>
      </w:r>
      <w:r>
        <w:t xml:space="preserve">. грн., або 64,8%, частка долара США - 181,0 млрд. грн. (29,8%), євро - 28,4 млрд. грн. (4,7%), російський рубль - 3,7 млрд. грн. (0,6). Зазначимо, що динаміка кредитів у доларах США у 2008-2012 </w:t>
      </w:r>
      <w:r>
        <w:rPr>
          <w:lang w:val="en-US" w:eastAsia="en-US" w:bidi="en-US"/>
        </w:rPr>
        <w:t xml:space="preserve">pp. </w:t>
      </w:r>
      <w:r>
        <w:t xml:space="preserve">спадна, натомість кредити </w:t>
      </w:r>
      <w:r>
        <w:rPr>
          <w:lang w:val="en-US" w:eastAsia="en-US" w:bidi="en-US"/>
        </w:rPr>
        <w:t xml:space="preserve">v </w:t>
      </w:r>
      <w:r>
        <w:t>гаивні, євоо та оосійських оу</w:t>
      </w:r>
      <w:r>
        <w:t xml:space="preserve">блях зоостають </w:t>
      </w:r>
      <w:r>
        <w:rPr>
          <w:lang w:val="en-US" w:eastAsia="en-US" w:bidi="en-US"/>
        </w:rPr>
        <w:t>(</w:t>
      </w:r>
      <w:r>
        <w:rPr>
          <w:rStyle w:val="7pt0"/>
        </w:rPr>
        <w:t>dhc</w:t>
      </w:r>
      <w:r>
        <w:rPr>
          <w:lang w:val="en-US" w:eastAsia="en-US" w:bidi="en-US"/>
        </w:rPr>
        <w:t xml:space="preserve">. </w:t>
      </w:r>
      <w:r>
        <w:t>2) [2].</w:t>
      </w:r>
    </w:p>
    <w:p w:rsidR="00E64849" w:rsidRDefault="00921C76">
      <w:pPr>
        <w:pStyle w:val="70"/>
        <w:framePr w:w="9082" w:h="4373" w:hRule="exact" w:wrap="around" w:vAnchor="page" w:hAnchor="page" w:x="1417" w:y="5511"/>
        <w:shd w:val="clear" w:color="auto" w:fill="auto"/>
        <w:tabs>
          <w:tab w:val="left" w:pos="1316"/>
          <w:tab w:val="center" w:pos="3006"/>
          <w:tab w:val="center" w:pos="3294"/>
          <w:tab w:val="center" w:pos="4186"/>
          <w:tab w:val="right" w:pos="5060"/>
          <w:tab w:val="left" w:pos="5205"/>
        </w:tabs>
        <w:spacing w:line="140" w:lineRule="exact"/>
        <w:ind w:left="20"/>
      </w:pPr>
      <w:r>
        <w:rPr>
          <w:rStyle w:val="71"/>
        </w:rPr>
        <w:t xml:space="preserve">■ </w:t>
      </w:r>
      <w:r>
        <w:t>гривня</w:t>
      </w:r>
      <w:r>
        <w:tab/>
      </w:r>
      <w:r>
        <w:rPr>
          <w:rStyle w:val="72"/>
        </w:rPr>
        <w:t xml:space="preserve">■ </w:t>
      </w:r>
      <w:r>
        <w:t>долар США</w:t>
      </w:r>
      <w:r>
        <w:tab/>
      </w:r>
      <w:r>
        <w:rPr>
          <w:rStyle w:val="73"/>
        </w:rPr>
        <w:t>■</w:t>
      </w:r>
      <w:r>
        <w:rPr>
          <w:rStyle w:val="73"/>
        </w:rPr>
        <w:tab/>
      </w:r>
      <w:r>
        <w:t>євро</w:t>
      </w:r>
      <w:r>
        <w:tab/>
      </w:r>
      <w:r>
        <w:rPr>
          <w:rStyle w:val="74"/>
        </w:rPr>
        <w:t>■</w:t>
      </w:r>
      <w:r>
        <w:rPr>
          <w:rStyle w:val="74"/>
        </w:rPr>
        <w:tab/>
      </w:r>
      <w:r>
        <w:t>російський</w:t>
      </w:r>
      <w:r>
        <w:tab/>
        <w:t>рубль</w:t>
      </w:r>
    </w:p>
    <w:p w:rsidR="00E64849" w:rsidRDefault="00921C76">
      <w:pPr>
        <w:pStyle w:val="26"/>
        <w:framePr w:wrap="around" w:vAnchor="page" w:hAnchor="page" w:x="3083" w:y="9989"/>
        <w:shd w:val="clear" w:color="auto" w:fill="auto"/>
        <w:spacing w:line="140" w:lineRule="exact"/>
      </w:pPr>
      <w:r>
        <w:t>700</w:t>
      </w:r>
    </w:p>
    <w:p w:rsidR="00E64849" w:rsidRDefault="00921C76">
      <w:pPr>
        <w:pStyle w:val="26"/>
        <w:framePr w:wrap="around" w:vAnchor="page" w:hAnchor="page" w:x="3083" w:y="10431"/>
        <w:shd w:val="clear" w:color="auto" w:fill="auto"/>
        <w:spacing w:line="140" w:lineRule="exact"/>
      </w:pPr>
      <w:r>
        <w:t>600</w:t>
      </w:r>
    </w:p>
    <w:p w:rsidR="00E64849" w:rsidRDefault="00921C76">
      <w:pPr>
        <w:pStyle w:val="26"/>
        <w:framePr w:wrap="around" w:vAnchor="page" w:hAnchor="page" w:x="3092" w:y="10872"/>
        <w:shd w:val="clear" w:color="auto" w:fill="auto"/>
        <w:spacing w:line="140" w:lineRule="exact"/>
      </w:pPr>
      <w:r>
        <w:t>500</w:t>
      </w:r>
    </w:p>
    <w:p w:rsidR="00E64849" w:rsidRDefault="00921C76">
      <w:pPr>
        <w:pStyle w:val="26"/>
        <w:framePr w:wrap="around" w:vAnchor="page" w:hAnchor="page" w:x="2699" w:y="11314"/>
        <w:shd w:val="clear" w:color="auto" w:fill="auto"/>
        <w:spacing w:line="140" w:lineRule="exact"/>
      </w:pPr>
      <w:r>
        <w:t>Р- 400</w:t>
      </w:r>
    </w:p>
    <w:p w:rsidR="00E64849" w:rsidRDefault="00921C76">
      <w:pPr>
        <w:pStyle w:val="26"/>
        <w:framePr w:wrap="around" w:vAnchor="page" w:hAnchor="page" w:x="2699" w:y="11765"/>
        <w:shd w:val="clear" w:color="auto" w:fill="auto"/>
        <w:tabs>
          <w:tab w:val="right" w:pos="624"/>
        </w:tabs>
        <w:spacing w:line="140" w:lineRule="exact"/>
        <w:jc w:val="both"/>
      </w:pPr>
      <w:r>
        <w:t>5</w:t>
      </w:r>
      <w:r>
        <w:tab/>
        <w:t>300</w:t>
      </w:r>
    </w:p>
    <w:p w:rsidR="00E64849" w:rsidRDefault="00921C76">
      <w:pPr>
        <w:pStyle w:val="26"/>
        <w:framePr w:wrap="around" w:vAnchor="page" w:hAnchor="page" w:x="3841" w:y="13340"/>
        <w:shd w:val="clear" w:color="auto" w:fill="auto"/>
        <w:spacing w:line="140" w:lineRule="exact"/>
      </w:pPr>
      <w:r>
        <w:t>2008</w:t>
      </w:r>
    </w:p>
    <w:p w:rsidR="00E64849" w:rsidRDefault="00921C76">
      <w:pPr>
        <w:pStyle w:val="26"/>
        <w:framePr w:wrap="around" w:vAnchor="page" w:hAnchor="page" w:x="4945" w:y="13340"/>
        <w:shd w:val="clear" w:color="auto" w:fill="auto"/>
        <w:spacing w:line="140" w:lineRule="exact"/>
      </w:pPr>
      <w:r>
        <w:t>2009</w:t>
      </w:r>
    </w:p>
    <w:p w:rsidR="00E64849" w:rsidRDefault="00921C76">
      <w:pPr>
        <w:pStyle w:val="26"/>
        <w:framePr w:w="490" w:h="508" w:hRule="exact" w:wrap="around" w:vAnchor="page" w:hAnchor="page" w:x="6059" w:y="13340"/>
        <w:shd w:val="clear" w:color="auto" w:fill="auto"/>
        <w:spacing w:after="155" w:line="140" w:lineRule="exact"/>
      </w:pPr>
      <w:r>
        <w:t>2010</w:t>
      </w:r>
    </w:p>
    <w:p w:rsidR="00E64849" w:rsidRDefault="00921C76">
      <w:pPr>
        <w:pStyle w:val="34"/>
        <w:framePr w:w="490" w:h="508" w:hRule="exact" w:wrap="around" w:vAnchor="page" w:hAnchor="page" w:x="6059" w:y="13340"/>
        <w:shd w:val="clear" w:color="auto" w:fill="auto"/>
        <w:spacing w:before="0" w:line="140" w:lineRule="exact"/>
      </w:pPr>
      <w:r>
        <w:t>Роки</w:t>
      </w:r>
    </w:p>
    <w:p w:rsidR="00E64849" w:rsidRDefault="00921C76">
      <w:pPr>
        <w:pStyle w:val="26"/>
        <w:framePr w:wrap="around" w:vAnchor="page" w:hAnchor="page" w:x="7163" w:y="13340"/>
        <w:shd w:val="clear" w:color="auto" w:fill="auto"/>
        <w:spacing w:line="140" w:lineRule="exact"/>
      </w:pPr>
      <w:r>
        <w:t>2011</w:t>
      </w:r>
    </w:p>
    <w:p w:rsidR="00E64849" w:rsidRDefault="00921C76">
      <w:pPr>
        <w:pStyle w:val="26"/>
        <w:framePr w:wrap="around" w:vAnchor="page" w:hAnchor="page" w:x="8257" w:y="13340"/>
        <w:shd w:val="clear" w:color="auto" w:fill="auto"/>
        <w:spacing w:line="140" w:lineRule="exact"/>
      </w:pPr>
      <w:r>
        <w:t>2012</w:t>
      </w:r>
    </w:p>
    <w:p w:rsidR="00E64849" w:rsidRDefault="00921C76">
      <w:pPr>
        <w:pStyle w:val="ab"/>
        <w:framePr w:w="7949" w:h="533" w:hRule="exact" w:wrap="around" w:vAnchor="page" w:hAnchor="page" w:x="1604" w:y="13989"/>
        <w:shd w:val="clear" w:color="auto" w:fill="auto"/>
      </w:pPr>
      <w:r>
        <w:rPr>
          <w:rStyle w:val="0pt"/>
          <w:b/>
          <w:bCs/>
        </w:rPr>
        <w:t xml:space="preserve">Рис. 2. </w:t>
      </w:r>
      <w:r>
        <w:t xml:space="preserve">Динаміка кредитів, наданих нефінансовим корпораціям, у розрізі валют у 2008-2012 </w:t>
      </w:r>
      <w:r>
        <w:rPr>
          <w:lang w:val="en-US" w:eastAsia="en-US" w:bidi="en-US"/>
        </w:rPr>
        <w:t>pp.*</w:t>
      </w:r>
    </w:p>
    <w:p w:rsidR="00E64849" w:rsidRDefault="00921C76">
      <w:pPr>
        <w:pStyle w:val="60"/>
        <w:framePr w:w="7949" w:h="187" w:hRule="exact" w:wrap="around" w:vAnchor="page" w:hAnchor="page" w:x="1604" w:y="14679"/>
        <w:shd w:val="clear" w:color="auto" w:fill="auto"/>
        <w:spacing w:after="0" w:line="150" w:lineRule="exact"/>
        <w:ind w:left="80"/>
      </w:pPr>
      <w:r>
        <w:t xml:space="preserve">‘Розраховано за даними НБУ </w:t>
      </w:r>
      <w:r>
        <w:t xml:space="preserve">[Електронний ресурс]. - Режим доступу : </w:t>
      </w:r>
      <w:r>
        <w:rPr>
          <w:lang w:val="en-US" w:eastAsia="en-US" w:bidi="en-US"/>
        </w:rPr>
        <w:t>http://www.bank.gov.ua.</w:t>
      </w:r>
    </w:p>
    <w:p w:rsidR="00E64849" w:rsidRDefault="00921C76">
      <w:pPr>
        <w:pStyle w:val="24"/>
        <w:framePr w:wrap="around" w:vAnchor="page" w:hAnchor="page" w:x="1408" w:y="15303"/>
        <w:shd w:val="clear" w:color="auto" w:fill="auto"/>
        <w:spacing w:line="130" w:lineRule="exact"/>
        <w:ind w:left="20"/>
      </w:pPr>
      <w:r>
        <w:t>Наука молода № 19, 2013 р.</w:t>
      </w:r>
    </w:p>
    <w:p w:rsidR="00E64849" w:rsidRDefault="00921C76">
      <w:pPr>
        <w:pStyle w:val="a5"/>
        <w:framePr w:wrap="around" w:vAnchor="page" w:hAnchor="page" w:x="10192" w:y="15326"/>
        <w:shd w:val="clear" w:color="auto" w:fill="auto"/>
        <w:spacing w:line="170" w:lineRule="exact"/>
        <w:ind w:left="20"/>
      </w:pPr>
      <w:r>
        <w:t>115</w:t>
      </w:r>
    </w:p>
    <w:p w:rsidR="00E64849" w:rsidRDefault="00E64849">
      <w:pPr>
        <w:rPr>
          <w:sz w:val="2"/>
          <w:szCs w:val="2"/>
        </w:rPr>
        <w:sectPr w:rsidR="00E6484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E64849">
        <w:pict>
          <v:shape id="_x0000_s1027" type="#_x0000_t75" style="position:absolute;margin-left:157.95pt;margin-top:503.75pt;width:294.7pt;height:154.55pt;z-index:-251658752;mso-wrap-distance-left:5pt;mso-wrap-distance-right:5pt;mso-position-horizontal-relative:page;mso-position-vertical-relative:page" wrapcoords="0 0">
            <v:imagedata r:id="rId9" o:title="image2"/>
            <w10:wrap anchorx="page" anchory="page"/>
          </v:shape>
        </w:pict>
      </w:r>
    </w:p>
    <w:p w:rsidR="00E64849" w:rsidRDefault="00921C76">
      <w:pPr>
        <w:pStyle w:val="32"/>
        <w:framePr w:w="4037" w:h="461" w:hRule="exact" w:wrap="around" w:vAnchor="page" w:hAnchor="page" w:x="1421" w:y="1114"/>
        <w:shd w:val="clear" w:color="auto" w:fill="auto"/>
        <w:spacing w:after="45" w:line="140" w:lineRule="exact"/>
        <w:ind w:left="40"/>
      </w:pPr>
      <w:r>
        <w:lastRenderedPageBreak/>
        <w:t>О. Малахова, К. Новацька</w:t>
      </w:r>
    </w:p>
    <w:p w:rsidR="00E64849" w:rsidRDefault="00921C76">
      <w:pPr>
        <w:pStyle w:val="a5"/>
        <w:framePr w:w="4037" w:h="461" w:hRule="exact" w:wrap="around" w:vAnchor="page" w:hAnchor="page" w:x="1421" w:y="1114"/>
        <w:shd w:val="clear" w:color="auto" w:fill="auto"/>
        <w:spacing w:line="170" w:lineRule="exact"/>
        <w:ind w:left="40"/>
      </w:pPr>
      <w:r>
        <w:t>Макроекономічний вплив банківської...</w:t>
      </w:r>
    </w:p>
    <w:p w:rsidR="00E64849" w:rsidRDefault="00921C76">
      <w:pPr>
        <w:pStyle w:val="a7"/>
        <w:framePr w:w="9077" w:h="1810" w:hRule="exact" w:wrap="around" w:vAnchor="page" w:hAnchor="page" w:x="1431" w:y="1744"/>
        <w:shd w:val="clear" w:color="auto" w:fill="auto"/>
        <w:spacing w:before="0"/>
        <w:ind w:left="20" w:right="20" w:firstLine="280"/>
      </w:pPr>
      <w:r>
        <w:t>Аналізуючи динаміку вартості позикових ресурсів для підприємств, насамперед</w:t>
      </w:r>
      <w:r>
        <w:t xml:space="preserve"> варто звернути увагу на величину середньої процентної ставки. Слід зазначити, що ціна для позичальників була і залишається надто високою. На кінець 2012 р. найбільш дорогими для підприємств залишаються кредити терміном до 1 року (16,6%), від 1 до 5 років </w:t>
      </w:r>
      <w:r>
        <w:t>(16,6%) та овердрафне кредитування (20,8%), довгострокові кредити в національній валюті становлять 15,5%. Натомість довгострокові кредити в іноземній валюті на кінець 2012 р. вищі, ніж короткострокові на 2,3% і відповідно становлять 11,1% (рис. 3).</w:t>
      </w:r>
    </w:p>
    <w:p w:rsidR="00E64849" w:rsidRDefault="00921C76">
      <w:pPr>
        <w:framePr w:wrap="none" w:vAnchor="page" w:hAnchor="page" w:x="1705" w:y="3692"/>
        <w:rPr>
          <w:sz w:val="2"/>
          <w:szCs w:val="2"/>
        </w:rPr>
      </w:pPr>
      <w:r>
        <w:pict>
          <v:shape id="_x0000_i1026" type="#_x0000_t75" style="width:427.5pt;height:158.25pt">
            <v:imagedata r:id="rId10" r:href="rId11"/>
          </v:shape>
        </w:pict>
      </w:r>
    </w:p>
    <w:p w:rsidR="00E64849" w:rsidRDefault="00921C76">
      <w:pPr>
        <w:pStyle w:val="ab"/>
        <w:framePr w:w="7051" w:h="529" w:hRule="exact" w:wrap="around" w:vAnchor="page" w:hAnchor="page" w:x="2444" w:y="7020"/>
        <w:shd w:val="clear" w:color="auto" w:fill="auto"/>
      </w:pPr>
      <w:r>
        <w:rPr>
          <w:rStyle w:val="0pt"/>
          <w:b/>
          <w:bCs/>
        </w:rPr>
        <w:t xml:space="preserve">Рис. 3. </w:t>
      </w:r>
      <w:r>
        <w:t xml:space="preserve">Динаміка середньозважених процентних ставок за кредитами, наданих нефінансовим корпораціям у 2008-2012 </w:t>
      </w:r>
      <w:r>
        <w:rPr>
          <w:lang w:val="en-US" w:eastAsia="en-US" w:bidi="en-US"/>
        </w:rPr>
        <w:t>pp.*</w:t>
      </w:r>
    </w:p>
    <w:p w:rsidR="00E64849" w:rsidRDefault="00921C76">
      <w:pPr>
        <w:pStyle w:val="60"/>
        <w:framePr w:w="9077" w:h="7423" w:hRule="exact" w:wrap="around" w:vAnchor="page" w:hAnchor="page" w:x="1431" w:y="7709"/>
        <w:shd w:val="clear" w:color="auto" w:fill="auto"/>
        <w:spacing w:after="159" w:line="150" w:lineRule="exact"/>
        <w:ind w:left="180"/>
      </w:pPr>
      <w:r>
        <w:t>‘Розраховано за даними НБУ</w:t>
      </w:r>
      <w:r>
        <w:t xml:space="preserve"> [Електронний ресурс]. - Режим доступу : </w:t>
      </w:r>
      <w:r>
        <w:rPr>
          <w:lang w:val="en-US" w:eastAsia="en-US" w:bidi="en-US"/>
        </w:rPr>
        <w:t>http://www.bank.gov.ua.</w:t>
      </w:r>
    </w:p>
    <w:p w:rsidR="00E64849" w:rsidRDefault="00921C76">
      <w:pPr>
        <w:pStyle w:val="a7"/>
        <w:framePr w:w="9077" w:h="7423" w:hRule="exact" w:wrap="around" w:vAnchor="page" w:hAnchor="page" w:x="1431" w:y="7709"/>
        <w:shd w:val="clear" w:color="auto" w:fill="auto"/>
        <w:spacing w:before="0"/>
        <w:ind w:left="20" w:right="20" w:firstLine="280"/>
      </w:pPr>
      <w:r>
        <w:t>Отже, на нашу думку, вітчизняні банки недостатньо і неефективно співпрацюють з реальним сектором економіки. Обсяги кредитування суб’єктів господарювання є невисокими, що зумовлено неготовніст</w:t>
      </w:r>
      <w:r>
        <w:t>ю надавати великі і довгострокові кредити, нестійкістю функціонування виробничих підприємств, відсутністю реальних структурних перетворень в економіці тощо.</w:t>
      </w:r>
    </w:p>
    <w:p w:rsidR="00E64849" w:rsidRDefault="00921C76">
      <w:pPr>
        <w:pStyle w:val="a7"/>
        <w:framePr w:w="9077" w:h="7423" w:hRule="exact" w:wrap="around" w:vAnchor="page" w:hAnchor="page" w:x="1431" w:y="7709"/>
        <w:shd w:val="clear" w:color="auto" w:fill="auto"/>
        <w:spacing w:before="0"/>
        <w:ind w:left="20" w:right="20" w:firstLine="280"/>
      </w:pPr>
      <w:r>
        <w:t>Загалом у ринковому середовищі необхідною умовою розвитку кредитних відносин є врахування інтересів</w:t>
      </w:r>
      <w:r>
        <w:t xml:space="preserve"> як позичальника, так і банку-кредитора. З одного боку, в спрощеному вигляді інтерес підприємства-позичальника у кредитній операції зводиться до одержання позички на строк та в обсязі, необхідному для цілей кредитування, при цьому вартість кредиту має бути</w:t>
      </w:r>
      <w:r>
        <w:t xml:space="preserve"> такою, щоб підприємство могло одержати прибуток. З іншого боку, основний інтерес банку-кредитора полягає в одержанні максимального прибутку для своїх акціонерів при дотриманні допустимого рівня ризику. Водночас на практиці процес кредитування буде можливи</w:t>
      </w:r>
      <w:r>
        <w:t>м лише за наявності у банку кредитних ресурсів (у відповідному обсязі та з відповідною строковістю) і реального (кредитоспроможного) попиту з боку позичальника на банківський кредит.</w:t>
      </w:r>
    </w:p>
    <w:p w:rsidR="00E64849" w:rsidRDefault="00921C76">
      <w:pPr>
        <w:pStyle w:val="a7"/>
        <w:framePr w:w="9077" w:h="7423" w:hRule="exact" w:wrap="around" w:vAnchor="page" w:hAnchor="page" w:x="1431" w:y="7709"/>
        <w:shd w:val="clear" w:color="auto" w:fill="auto"/>
        <w:spacing w:before="0"/>
        <w:ind w:left="20" w:right="20" w:firstLine="280"/>
      </w:pPr>
      <w:r>
        <w:t>Зважаючи на перелічені фактори інтересів кредитора та позичальника, ми уз</w:t>
      </w:r>
      <w:r>
        <w:t>агальнили основні чинники, які стоять на заваді посилення позитивного впливу банків на реальний сектор економіки. Розглянемо основні з них:</w:t>
      </w:r>
    </w:p>
    <w:p w:rsidR="00E64849" w:rsidRDefault="00921C76">
      <w:pPr>
        <w:pStyle w:val="a7"/>
        <w:framePr w:w="9077" w:h="7423" w:hRule="exact" w:wrap="around" w:vAnchor="page" w:hAnchor="page" w:x="1431" w:y="7709"/>
        <w:numPr>
          <w:ilvl w:val="0"/>
          <w:numId w:val="1"/>
        </w:numPr>
        <w:shd w:val="clear" w:color="auto" w:fill="auto"/>
        <w:spacing w:before="0"/>
        <w:ind w:left="20" w:right="20" w:firstLine="280"/>
      </w:pPr>
      <w:r>
        <w:t xml:space="preserve"> Зниження кредитоспроможного попиту потенційних позичальників. Кредитоспроможним є попит позичальників, які мають фінансові можливості обслуговувати і своєчасно погашати борг. Водночас нині рівень кредитоспроможного попиту підприємств реального сектору еко</w:t>
      </w:r>
      <w:r>
        <w:t>номіки є кри</w:t>
      </w:r>
      <w:r>
        <w:softHyphen/>
        <w:t>тично низьким. Це пов’язано зі зменшенням номінальних доходів підприємств, зниженням підприємницької активності через невизначеність економічних перспектив у кризовий період, що послабило фінансові баланси потенційних позичальників.</w:t>
      </w:r>
    </w:p>
    <w:p w:rsidR="00E64849" w:rsidRDefault="00921C76">
      <w:pPr>
        <w:pStyle w:val="a7"/>
        <w:framePr w:w="9077" w:h="7423" w:hRule="exact" w:wrap="around" w:vAnchor="page" w:hAnchor="page" w:x="1431" w:y="7709"/>
        <w:numPr>
          <w:ilvl w:val="0"/>
          <w:numId w:val="1"/>
        </w:numPr>
        <w:shd w:val="clear" w:color="auto" w:fill="auto"/>
        <w:spacing w:before="0"/>
        <w:ind w:left="20" w:right="20" w:firstLine="280"/>
      </w:pPr>
      <w:r>
        <w:t xml:space="preserve"> Низька ка</w:t>
      </w:r>
      <w:r>
        <w:t>піталізація банків, що зумовлена скороченням власного капіталу через зростання обсягу проблемних кредитів. Стрімке зниження економічної активності в Україні знайшло відобра</w:t>
      </w:r>
      <w:r>
        <w:softHyphen/>
        <w:t xml:space="preserve">ження в різкому погіршенні якості банківських активів, тоді як відсоток проблемних </w:t>
      </w:r>
      <w:r>
        <w:t>(прострочених) позик, що офіційно публікується, значно збільшився із початком кризи і становив 9,09% (за станом на 01.09.2012 р.) [5]. Оцінки на основі міжнародних стандартів обліку є набагато вищими. МВФ, ряд рейтингових агенцій та інвестиційних банків оц</w:t>
      </w:r>
      <w:r>
        <w:t>інюють, що, відповідно до міжнародних стандартів,</w:t>
      </w:r>
    </w:p>
    <w:p w:rsidR="00E64849" w:rsidRDefault="00921C76">
      <w:pPr>
        <w:pStyle w:val="a5"/>
        <w:framePr w:wrap="around" w:vAnchor="page" w:hAnchor="page" w:x="1402" w:y="15590"/>
        <w:shd w:val="clear" w:color="auto" w:fill="auto"/>
        <w:spacing w:line="170" w:lineRule="exact"/>
        <w:ind w:left="20"/>
      </w:pPr>
      <w:r>
        <w:t>116</w:t>
      </w:r>
    </w:p>
    <w:p w:rsidR="00E64849" w:rsidRDefault="00921C76">
      <w:pPr>
        <w:pStyle w:val="24"/>
        <w:framePr w:wrap="around" w:vAnchor="page" w:hAnchor="page" w:x="8324" w:y="15596"/>
        <w:shd w:val="clear" w:color="auto" w:fill="auto"/>
        <w:spacing w:line="130" w:lineRule="exact"/>
        <w:ind w:left="20"/>
      </w:pPr>
      <w:r>
        <w:t>Наука молода № 19, 2013 р.</w:t>
      </w:r>
    </w:p>
    <w:p w:rsidR="00E64849" w:rsidRDefault="00E64849">
      <w:pPr>
        <w:rPr>
          <w:sz w:val="2"/>
          <w:szCs w:val="2"/>
        </w:rPr>
        <w:sectPr w:rsidR="00E6484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64849" w:rsidRDefault="00921C76">
      <w:pPr>
        <w:pStyle w:val="a5"/>
        <w:framePr w:wrap="around" w:vAnchor="page" w:hAnchor="page" w:x="5264" w:y="1294"/>
        <w:shd w:val="clear" w:color="auto" w:fill="auto"/>
        <w:spacing w:line="170" w:lineRule="exact"/>
        <w:ind w:left="20"/>
      </w:pPr>
      <w:r>
        <w:lastRenderedPageBreak/>
        <w:t>Перспективи розвитку фінансово-кредитної системи</w:t>
      </w:r>
    </w:p>
    <w:p w:rsidR="00E64849" w:rsidRDefault="00921C76">
      <w:pPr>
        <w:pStyle w:val="a7"/>
        <w:framePr w:w="9082" w:h="9984" w:hRule="exact" w:wrap="around" w:vAnchor="page" w:hAnchor="page" w:x="1424" w:y="1703"/>
        <w:shd w:val="clear" w:color="auto" w:fill="auto"/>
        <w:spacing w:before="0" w:line="245" w:lineRule="exact"/>
        <w:ind w:left="20" w:right="20"/>
      </w:pPr>
      <w:r>
        <w:t>частка проблемних кредитів знаходиться в межах 25-35%. В результаті банки об’єктивно не спроможні нарощу</w:t>
      </w:r>
      <w:r>
        <w:t>вати обсяги кредитування, а свої втрати прагнуть компенсувати за рахунок підвищення сукупної вартості кредиту.</w:t>
      </w:r>
    </w:p>
    <w:p w:rsidR="00E64849" w:rsidRDefault="00921C76">
      <w:pPr>
        <w:pStyle w:val="a7"/>
        <w:framePr w:w="9082" w:h="9984" w:hRule="exact" w:wrap="around" w:vAnchor="page" w:hAnchor="page" w:x="1424" w:y="1703"/>
        <w:numPr>
          <w:ilvl w:val="0"/>
          <w:numId w:val="1"/>
        </w:numPr>
        <w:shd w:val="clear" w:color="auto" w:fill="auto"/>
        <w:spacing w:before="0" w:line="245" w:lineRule="exact"/>
        <w:ind w:left="20" w:right="20" w:firstLine="280"/>
      </w:pPr>
      <w:r>
        <w:t xml:space="preserve"> Нестача довгострокових кредитних ресурсів і недостатнє залучення заощаджень населення у депозитні вклади. Настання кризи в Україні майже моментально призвело до масового зниження довіри до банківського сектору зі сторони населення і до виникнення потреби </w:t>
      </w:r>
      <w:r>
        <w:t>у знятті депозитів щоб вижити за умов економічного занепаду. Таким чином, загальний обсяг депозитів швидко скоротився. Незважаючи нате, що протягом 2012 р. було невелике зростання обсягів депозитів, проте ці зміни не є міцною базою для відновлення кредитув</w:t>
      </w:r>
      <w:r>
        <w:t>ання. Через кризу існує брак механізмів залучення більш довгострокових, стабільних депозитів у національній валюті, також через девальваційні ризики вкладники надають перевагу короткостроковим депозитним програмам, відповіднодля банків це означає існування</w:t>
      </w:r>
      <w:r>
        <w:t xml:space="preserve"> проблем з наданням кредитів у національній валюті.</w:t>
      </w:r>
    </w:p>
    <w:p w:rsidR="00E64849" w:rsidRDefault="00921C76">
      <w:pPr>
        <w:pStyle w:val="a7"/>
        <w:framePr w:w="9082" w:h="9984" w:hRule="exact" w:wrap="around" w:vAnchor="page" w:hAnchor="page" w:x="1424" w:y="1703"/>
        <w:numPr>
          <w:ilvl w:val="0"/>
          <w:numId w:val="1"/>
        </w:numPr>
        <w:shd w:val="clear" w:color="auto" w:fill="auto"/>
        <w:spacing w:before="0" w:line="245" w:lineRule="exact"/>
        <w:ind w:left="20" w:right="20" w:firstLine="280"/>
      </w:pPr>
      <w:r>
        <w:t xml:space="preserve"> Високі ризики кредитування та недосконала законодавча база щодо захисту прав кредиторів. Ризики кредитування пов’язанні з недостатньою прозорістю фінансової звітності підприємств, відсут</w:t>
      </w:r>
      <w:r>
        <w:softHyphen/>
        <w:t xml:space="preserve">ністю належного </w:t>
      </w:r>
      <w:r>
        <w:t>контролю за процесом кредитування, неможливістю реалізації предмета застави, можливого знецінення предмета застави за період дії кредитної угоди та інші. На практиці за рахунок заставного забезпечення можна повернути не більше 50% від суми кредитної заборг</w:t>
      </w:r>
      <w:r>
        <w:t>ованості. З огляду на це банки вимагають забезпечення, розмір якого у 2-3 рази перевищує суму кредиту й відсотків за користування ним, закладають у кредитні ставки високу (понад 10%) премію за ризик. Такі умови кредитування роблять недоступними інвестиційн</w:t>
      </w:r>
      <w:r>
        <w:t>і кредити для реального сектору економіки [8, с. 31].</w:t>
      </w:r>
    </w:p>
    <w:p w:rsidR="00E64849" w:rsidRDefault="00921C76">
      <w:pPr>
        <w:pStyle w:val="a7"/>
        <w:framePr w:w="9082" w:h="9984" w:hRule="exact" w:wrap="around" w:vAnchor="page" w:hAnchor="page" w:x="1424" w:y="1703"/>
        <w:numPr>
          <w:ilvl w:val="0"/>
          <w:numId w:val="1"/>
        </w:numPr>
        <w:shd w:val="clear" w:color="auto" w:fill="auto"/>
        <w:spacing w:before="0" w:line="245" w:lineRule="exact"/>
        <w:ind w:left="20" w:right="20" w:firstLine="280"/>
      </w:pPr>
      <w:r>
        <w:t xml:space="preserve"> Власне небажання банків кредитувати підприємства реального сектору економіки внаслідок наявності більш дохідних та менш ризикових проектів. Для банків дуже привабливий об’єкт кредитування - облігації в</w:t>
      </w:r>
      <w:r>
        <w:t>нутрішньої державної позики, які є низько ризиковими та високоприбутко</w:t>
      </w:r>
      <w:r>
        <w:softHyphen/>
        <w:t>вими активами, що, з одного боку, сприяє покриттю дефіциту державного бюджету, а з іншого - стримує кредитування банками реального сектору економіки. Тобто йдеться про так званий «ефект</w:t>
      </w:r>
      <w:r>
        <w:t xml:space="preserve"> витіснення», коли банкам вигідніше вкладати кошти у безризикові високодохідні фінансові інстру</w:t>
      </w:r>
      <w:r>
        <w:softHyphen/>
        <w:t>менти, ніж брати на себе ризики і кредитувати реальну економіку.</w:t>
      </w:r>
    </w:p>
    <w:p w:rsidR="00E64849" w:rsidRDefault="00921C76">
      <w:pPr>
        <w:pStyle w:val="a7"/>
        <w:framePr w:w="9082" w:h="9984" w:hRule="exact" w:wrap="around" w:vAnchor="page" w:hAnchor="page" w:x="1424" w:y="1703"/>
        <w:numPr>
          <w:ilvl w:val="0"/>
          <w:numId w:val="1"/>
        </w:numPr>
        <w:shd w:val="clear" w:color="auto" w:fill="auto"/>
        <w:spacing w:before="0" w:line="245" w:lineRule="exact"/>
        <w:ind w:left="20" w:right="20" w:firstLine="280"/>
      </w:pPr>
      <w:r>
        <w:t xml:space="preserve"> Високі кредитні відсотки, невигідні умови кредитних угод для позичальників та довга процедура </w:t>
      </w:r>
      <w:r>
        <w:t>розгляду можливості отримання кредиту.</w:t>
      </w:r>
    </w:p>
    <w:p w:rsidR="00E64849" w:rsidRDefault="00921C76">
      <w:pPr>
        <w:pStyle w:val="a7"/>
        <w:framePr w:w="9082" w:h="9984" w:hRule="exact" w:wrap="around" w:vAnchor="page" w:hAnchor="page" w:x="1424" w:y="1703"/>
        <w:shd w:val="clear" w:color="auto" w:fill="auto"/>
        <w:spacing w:before="0" w:line="245" w:lineRule="exact"/>
        <w:ind w:left="20" w:right="20" w:firstLine="280"/>
      </w:pPr>
      <w:r>
        <w:t>Підсумовуючи викладене вище, вважаємо, що нині необхідно напрацьовувати шляхи мінімізації негативного впливу зазначених чинників на розвиток кредитування та стимулювати кредитну активність вітчизняних банків щодо розм</w:t>
      </w:r>
      <w:r>
        <w:t>іщення акумульованих ресурсів у реальний сектор економіки. Цей процес потребує комплексних заходів на рівні держави, спрямованих як на стимулювання плато</w:t>
      </w:r>
      <w:r>
        <w:softHyphen/>
        <w:t>спроможного попиту на кредит, так і пропозиції кредитних ресурсів банківськими установами.</w:t>
      </w:r>
    </w:p>
    <w:p w:rsidR="00E64849" w:rsidRDefault="00921C76">
      <w:pPr>
        <w:pStyle w:val="a7"/>
        <w:framePr w:w="9082" w:h="9984" w:hRule="exact" w:wrap="around" w:vAnchor="page" w:hAnchor="page" w:x="1424" w:y="1703"/>
        <w:shd w:val="clear" w:color="auto" w:fill="auto"/>
        <w:spacing w:before="0" w:line="245" w:lineRule="exact"/>
        <w:ind w:left="20" w:right="20" w:firstLine="280"/>
      </w:pPr>
      <w:r>
        <w:t>На макроеко</w:t>
      </w:r>
      <w:r>
        <w:t>номічному рівні заходи щодо оптимізації кредитної діяльності банківської системи мають бути спрямовані на забезпечення її стабільної роботи і недопущення підриву ліквідності, а також на стимулювання кредитних відносин із різними групами позичальників. До т</w:t>
      </w:r>
      <w:r>
        <w:t>аких заходів необхідно зарахувати передусім такі (табл. 2).</w:t>
      </w:r>
    </w:p>
    <w:p w:rsidR="00E64849" w:rsidRDefault="00921C76">
      <w:pPr>
        <w:pStyle w:val="30"/>
        <w:framePr w:w="9082" w:h="9984" w:hRule="exact" w:wrap="around" w:vAnchor="page" w:hAnchor="page" w:x="1424" w:y="1703"/>
        <w:shd w:val="clear" w:color="auto" w:fill="auto"/>
        <w:spacing w:before="0" w:after="0" w:line="245" w:lineRule="exact"/>
        <w:ind w:right="20" w:firstLine="0"/>
        <w:jc w:val="right"/>
      </w:pPr>
      <w:r>
        <w:t>Таблиця 2</w:t>
      </w:r>
    </w:p>
    <w:p w:rsidR="00E64849" w:rsidRDefault="00921C76">
      <w:pPr>
        <w:pStyle w:val="50"/>
        <w:framePr w:w="9082" w:h="9984" w:hRule="exact" w:wrap="around" w:vAnchor="page" w:hAnchor="page" w:x="1424" w:y="1703"/>
        <w:shd w:val="clear" w:color="auto" w:fill="auto"/>
        <w:spacing w:after="0" w:line="245" w:lineRule="exact"/>
        <w:jc w:val="center"/>
      </w:pPr>
      <w:r>
        <w:t>Заходи щодо оптимізації кредитної діяльності банківської системи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26"/>
        <w:gridCol w:w="4526"/>
      </w:tblGrid>
      <w:tr w:rsidR="00E6484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849" w:rsidRDefault="00921C76">
            <w:pPr>
              <w:pStyle w:val="a7"/>
              <w:framePr w:w="9053" w:h="3360" w:wrap="around" w:vAnchor="page" w:hAnchor="page" w:x="1434" w:y="11835"/>
              <w:shd w:val="clear" w:color="auto" w:fill="auto"/>
              <w:spacing w:before="0" w:line="150" w:lineRule="exact"/>
              <w:ind w:left="700"/>
              <w:jc w:val="left"/>
            </w:pPr>
            <w:r>
              <w:rPr>
                <w:rStyle w:val="75pt0pt"/>
              </w:rPr>
              <w:t>Заходи макроекономічного рівня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4849" w:rsidRDefault="00921C76">
            <w:pPr>
              <w:pStyle w:val="a7"/>
              <w:framePr w:w="9053" w:h="3360" w:wrap="around" w:vAnchor="page" w:hAnchor="page" w:x="1434" w:y="11835"/>
              <w:shd w:val="clear" w:color="auto" w:fill="auto"/>
              <w:spacing w:before="0" w:line="150" w:lineRule="exact"/>
              <w:ind w:left="700"/>
              <w:jc w:val="left"/>
            </w:pPr>
            <w:r>
              <w:rPr>
                <w:rStyle w:val="75pt0pt"/>
              </w:rPr>
              <w:t>Заходи мікроекономічного рівня</w:t>
            </w:r>
          </w:p>
        </w:tc>
      </w:tr>
      <w:tr w:rsidR="00E64849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849" w:rsidRDefault="00921C76">
            <w:pPr>
              <w:pStyle w:val="a7"/>
              <w:framePr w:w="9053" w:h="3360" w:wrap="around" w:vAnchor="page" w:hAnchor="page" w:x="1434" w:y="11835"/>
              <w:shd w:val="clear" w:color="auto" w:fill="auto"/>
              <w:spacing w:before="0" w:line="192" w:lineRule="exact"/>
              <w:ind w:left="100"/>
              <w:jc w:val="left"/>
            </w:pPr>
            <w:r>
              <w:rPr>
                <w:rStyle w:val="7pt"/>
              </w:rPr>
              <w:t>1. Стимулювання з боку державних регулятивних органів щодо</w:t>
            </w:r>
            <w:r>
              <w:rPr>
                <w:rStyle w:val="7pt"/>
              </w:rPr>
              <w:t xml:space="preserve"> нарощування капіталізації банківських установ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849" w:rsidRDefault="00921C76">
            <w:pPr>
              <w:pStyle w:val="a7"/>
              <w:framePr w:w="9053" w:h="3360" w:wrap="around" w:vAnchor="page" w:hAnchor="page" w:x="1434" w:y="11835"/>
              <w:shd w:val="clear" w:color="auto" w:fill="auto"/>
              <w:spacing w:before="0" w:line="192" w:lineRule="exact"/>
              <w:ind w:left="100"/>
              <w:jc w:val="left"/>
            </w:pPr>
            <w:r>
              <w:rPr>
                <w:rStyle w:val="7pt"/>
              </w:rPr>
              <w:t>1. Розширення об'єкта та ефективного аналізу кредитоспроможності потенційних позичальників з урахуванням їх виробничого потенціалу</w:t>
            </w:r>
          </w:p>
        </w:tc>
      </w:tr>
      <w:tr w:rsidR="00E64849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849" w:rsidRDefault="00921C76">
            <w:pPr>
              <w:pStyle w:val="a7"/>
              <w:framePr w:w="9053" w:h="3360" w:wrap="around" w:vAnchor="page" w:hAnchor="page" w:x="1434" w:y="11835"/>
              <w:shd w:val="clear" w:color="auto" w:fill="auto"/>
              <w:spacing w:before="0" w:line="192" w:lineRule="exact"/>
              <w:ind w:left="100"/>
              <w:jc w:val="left"/>
            </w:pPr>
            <w:r>
              <w:rPr>
                <w:rStyle w:val="7pt"/>
              </w:rPr>
              <w:t xml:space="preserve">2. Чіткі процедури санації комерційних банків, що відчувають труднощі, однак </w:t>
            </w:r>
            <w:r>
              <w:rPr>
                <w:rStyle w:val="7pt"/>
              </w:rPr>
              <w:t>стійкість яких є важливою на забезпечення усієї банківської системи країни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849" w:rsidRDefault="00921C76">
            <w:pPr>
              <w:pStyle w:val="a7"/>
              <w:framePr w:w="9053" w:h="3360" w:wrap="around" w:vAnchor="page" w:hAnchor="page" w:x="1434" w:y="11835"/>
              <w:shd w:val="clear" w:color="auto" w:fill="auto"/>
              <w:spacing w:before="0" w:line="197" w:lineRule="exact"/>
              <w:ind w:left="100"/>
              <w:jc w:val="left"/>
            </w:pPr>
            <w:r>
              <w:rPr>
                <w:rStyle w:val="7pt"/>
              </w:rPr>
              <w:t>2. Забезпечення позитивної динаміки зростання обсягів депозитів</w:t>
            </w:r>
          </w:p>
        </w:tc>
      </w:tr>
      <w:tr w:rsidR="00E64849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4849" w:rsidRDefault="00921C76">
            <w:pPr>
              <w:pStyle w:val="a7"/>
              <w:framePr w:w="9053" w:h="3360" w:wrap="around" w:vAnchor="page" w:hAnchor="page" w:x="1434" w:y="11835"/>
              <w:shd w:val="clear" w:color="auto" w:fill="auto"/>
              <w:spacing w:before="0" w:line="192" w:lineRule="exact"/>
              <w:ind w:left="100"/>
              <w:jc w:val="left"/>
            </w:pPr>
            <w:r>
              <w:rPr>
                <w:rStyle w:val="7pt"/>
              </w:rPr>
              <w:t>3. Удосконалення правових та інституційних основ для роботи банків з проблемною кредитною заборгованістю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849" w:rsidRDefault="00921C76">
            <w:pPr>
              <w:pStyle w:val="a7"/>
              <w:framePr w:w="9053" w:h="3360" w:wrap="around" w:vAnchor="page" w:hAnchor="page" w:x="1434" w:y="11835"/>
              <w:shd w:val="clear" w:color="auto" w:fill="auto"/>
              <w:spacing w:before="0" w:line="192" w:lineRule="exact"/>
              <w:ind w:left="100"/>
              <w:jc w:val="left"/>
            </w:pPr>
            <w:r>
              <w:rPr>
                <w:rStyle w:val="7pt"/>
              </w:rPr>
              <w:t xml:space="preserve">3. </w:t>
            </w:r>
            <w:r>
              <w:rPr>
                <w:rStyle w:val="7pt"/>
              </w:rPr>
              <w:t>Здійснення посиленого контролю за цільовим використанням кредиту на виробничі потреби реального сектору економіки</w:t>
            </w:r>
          </w:p>
        </w:tc>
      </w:tr>
      <w:tr w:rsidR="00E64849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4849" w:rsidRDefault="00921C76">
            <w:pPr>
              <w:pStyle w:val="a7"/>
              <w:framePr w:w="9053" w:h="3360" w:wrap="around" w:vAnchor="page" w:hAnchor="page" w:x="1434" w:y="11835"/>
              <w:shd w:val="clear" w:color="auto" w:fill="auto"/>
              <w:spacing w:before="0" w:line="197" w:lineRule="exact"/>
              <w:ind w:left="100"/>
              <w:jc w:val="left"/>
            </w:pPr>
            <w:r>
              <w:rPr>
                <w:rStyle w:val="7pt"/>
              </w:rPr>
              <w:t>4. Розвиток кредитних бюро, які підвищують рівень відомостей банків про потенційних позичальників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849" w:rsidRDefault="00921C76">
            <w:pPr>
              <w:pStyle w:val="a7"/>
              <w:framePr w:w="9053" w:h="3360" w:wrap="around" w:vAnchor="page" w:hAnchor="page" w:x="1434" w:y="11835"/>
              <w:shd w:val="clear" w:color="auto" w:fill="auto"/>
              <w:spacing w:before="0" w:line="192" w:lineRule="exact"/>
              <w:ind w:left="100"/>
              <w:jc w:val="left"/>
            </w:pPr>
            <w:r>
              <w:rPr>
                <w:rStyle w:val="7pt"/>
              </w:rPr>
              <w:t>4. Проведення постійного моніторингу кредит</w:t>
            </w:r>
            <w:r>
              <w:rPr>
                <w:rStyle w:val="7pt"/>
              </w:rPr>
              <w:t>ного портфеля, який охоплює всі етапи: від підготовки й видачі кредитів до повного його погашення</w:t>
            </w:r>
          </w:p>
        </w:tc>
      </w:tr>
    </w:tbl>
    <w:p w:rsidR="00E64849" w:rsidRDefault="00921C76">
      <w:pPr>
        <w:pStyle w:val="24"/>
        <w:framePr w:wrap="around" w:vAnchor="page" w:hAnchor="page" w:x="1415" w:y="15550"/>
        <w:shd w:val="clear" w:color="auto" w:fill="auto"/>
        <w:spacing w:line="130" w:lineRule="exact"/>
        <w:ind w:left="20"/>
      </w:pPr>
      <w:r>
        <w:t>Наука молода № 19, 2013 р.</w:t>
      </w:r>
    </w:p>
    <w:p w:rsidR="00E64849" w:rsidRDefault="00921C76">
      <w:pPr>
        <w:pStyle w:val="a5"/>
        <w:framePr w:wrap="around" w:vAnchor="page" w:hAnchor="page" w:x="10199" w:y="15573"/>
        <w:shd w:val="clear" w:color="auto" w:fill="auto"/>
        <w:spacing w:line="170" w:lineRule="exact"/>
        <w:ind w:left="20"/>
      </w:pPr>
      <w:r>
        <w:t>117</w:t>
      </w:r>
    </w:p>
    <w:p w:rsidR="00E64849" w:rsidRDefault="00E64849">
      <w:pPr>
        <w:rPr>
          <w:sz w:val="2"/>
          <w:szCs w:val="2"/>
        </w:rPr>
        <w:sectPr w:rsidR="00E6484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64849" w:rsidRDefault="00921C76">
      <w:pPr>
        <w:pStyle w:val="32"/>
        <w:framePr w:w="9149" w:h="432" w:hRule="exact" w:wrap="around" w:vAnchor="page" w:hAnchor="page" w:x="1390" w:y="1078"/>
        <w:shd w:val="clear" w:color="auto" w:fill="auto"/>
        <w:spacing w:after="45" w:line="140" w:lineRule="exact"/>
        <w:ind w:left="40"/>
      </w:pPr>
      <w:r>
        <w:lastRenderedPageBreak/>
        <w:t>О. Малахова, К. Новацька</w:t>
      </w:r>
    </w:p>
    <w:p w:rsidR="00E64849" w:rsidRDefault="00921C76">
      <w:pPr>
        <w:pStyle w:val="a5"/>
        <w:framePr w:w="9149" w:h="432" w:hRule="exact" w:wrap="around" w:vAnchor="page" w:hAnchor="page" w:x="1390" w:y="1078"/>
        <w:shd w:val="clear" w:color="auto" w:fill="auto"/>
        <w:spacing w:line="170" w:lineRule="exact"/>
        <w:ind w:left="40"/>
      </w:pPr>
      <w:r>
        <w:t>Макроекономічний вплив банківської...</w:t>
      </w:r>
    </w:p>
    <w:p w:rsidR="00E64849" w:rsidRDefault="00921C76">
      <w:pPr>
        <w:pStyle w:val="a7"/>
        <w:framePr w:w="9091" w:h="13033" w:hRule="exact" w:wrap="around" w:vAnchor="page" w:hAnchor="page" w:x="1424" w:y="1747"/>
        <w:shd w:val="clear" w:color="auto" w:fill="auto"/>
        <w:spacing w:before="0"/>
        <w:ind w:left="20" w:right="20" w:firstLine="300"/>
      </w:pPr>
      <w:r>
        <w:t xml:space="preserve">По-перше, достатня капіталізація </w:t>
      </w:r>
      <w:r>
        <w:t>банківської сфери є ключовим фактором відновлення кредитування реального сектору економіки. Слід вжити заходи із стимулювання з боку державних регулятивних органів щодо нарощування капіталізації банківських установ. Йдеться про злиття банківських капіталів</w:t>
      </w:r>
      <w:r>
        <w:t>, встановлення спрощених порядків збільшення статутного капіталу за рахунок коштів акціонерів банку та інвесторів і реорганізації банків за рішенням власників, розширення можливостей капіталізації банків за участю держави [4].</w:t>
      </w:r>
    </w:p>
    <w:p w:rsidR="00E64849" w:rsidRDefault="00921C76">
      <w:pPr>
        <w:pStyle w:val="a7"/>
        <w:framePr w:w="9091" w:h="13033" w:hRule="exact" w:wrap="around" w:vAnchor="page" w:hAnchor="page" w:x="1424" w:y="1747"/>
        <w:shd w:val="clear" w:color="auto" w:fill="auto"/>
        <w:spacing w:before="0"/>
        <w:ind w:left="20" w:right="20" w:firstLine="300"/>
      </w:pPr>
      <w:r>
        <w:t>По-друге, провести чіткі проц</w:t>
      </w:r>
      <w:r>
        <w:t xml:space="preserve">едури санації комерційних банків, що відчувають труднощі, однак стійкість яких є важливою для забезпечення усієї банківської системи країни. Потрібно підтримувати саме ті банки, кредитна політика яких спрямована на фінансування виробництв, технологій, які </w:t>
      </w:r>
      <w:r>
        <w:t>забезпечують розвиток економіки на інноваційних засадах.</w:t>
      </w:r>
    </w:p>
    <w:p w:rsidR="00E64849" w:rsidRDefault="00921C76">
      <w:pPr>
        <w:pStyle w:val="a7"/>
        <w:framePr w:w="9091" w:h="13033" w:hRule="exact" w:wrap="around" w:vAnchor="page" w:hAnchor="page" w:x="1424" w:y="1747"/>
        <w:shd w:val="clear" w:color="auto" w:fill="auto"/>
        <w:spacing w:before="0"/>
        <w:ind w:left="20" w:right="20" w:firstLine="300"/>
      </w:pPr>
      <w:r>
        <w:t>По-третє, здійснити удосконалення правових та інституційних основ для роботи банків з проблем</w:t>
      </w:r>
      <w:r>
        <w:softHyphen/>
        <w:t>ною кредитною заборгованістю, зокрема в частині вдосконалення процедури продажу боргів іншим фінансовим у</w:t>
      </w:r>
      <w:r>
        <w:t>становам, а також формування інфраструктури ринку проблемних активів за участю рейтингових агентств, колекторських агентств тощо [3].</w:t>
      </w:r>
    </w:p>
    <w:p w:rsidR="00E64849" w:rsidRDefault="00921C76">
      <w:pPr>
        <w:pStyle w:val="a7"/>
        <w:framePr w:w="9091" w:h="13033" w:hRule="exact" w:wrap="around" w:vAnchor="page" w:hAnchor="page" w:x="1424" w:y="1747"/>
        <w:shd w:val="clear" w:color="auto" w:fill="auto"/>
        <w:spacing w:before="0"/>
        <w:ind w:left="20" w:right="20" w:firstLine="300"/>
      </w:pPr>
      <w:r>
        <w:t xml:space="preserve">По-четверте, стимулювати розвиток кредитних бюро, які підвищують рівень відомостей банків про потенційних позичальників і </w:t>
      </w:r>
      <w:r>
        <w:t>дають можливість більш точного прогнозування повернення позик. Також кредитне бюро формує свого роду дисциплінуючий механізм для позичальників. Кожний знає, що у разі невиконання зобов’язань його репутація в очах потенційних кредиторів упаде, позбавляючи й</w:t>
      </w:r>
      <w:r>
        <w:t>ого позикових коштів або роблячи їх набагато дорожчими. Цей механізм також підвищує стимул позичальника до повернення кредиту, зменшуючи ризик несумлінної поведінки.</w:t>
      </w:r>
    </w:p>
    <w:p w:rsidR="00E64849" w:rsidRDefault="00921C76">
      <w:pPr>
        <w:pStyle w:val="a7"/>
        <w:framePr w:w="9091" w:h="13033" w:hRule="exact" w:wrap="around" w:vAnchor="page" w:hAnchor="page" w:x="1424" w:y="1747"/>
        <w:shd w:val="clear" w:color="auto" w:fill="auto"/>
        <w:spacing w:before="0"/>
        <w:ind w:left="20" w:right="20" w:firstLine="300"/>
      </w:pPr>
      <w:r>
        <w:t>На мікроекономічному рівні оптимізація кредитної діяльності має бути спрямована на: 1) роз</w:t>
      </w:r>
      <w:r>
        <w:t>ши</w:t>
      </w:r>
      <w:r>
        <w:softHyphen/>
        <w:t>рення об’єкта та ефективного аналізу кредитоспроможності потенційних позичальників з урахуванням їх виробничого потенціалу на основі оцінки внутрішніх систем і структури підприємства, його персоналу, контролю за якістю продукції, системи менеджменту; 2)</w:t>
      </w:r>
      <w:r>
        <w:t xml:space="preserve"> забезпечення позитивної динаміки зростання обсягів депозитів, передусім у національній валюті України; 3) здійснення посиленого контролю за цільовим використанням кредиту на виробничі потреби реального сектору економіки; 4) проведення постійного моніторин</w:t>
      </w:r>
      <w:r>
        <w:t>гу кредитного портфеля, який охоплює всі етапи - від підготовки й видачі кредитів до повного його погашення [1, с. 38].</w:t>
      </w:r>
    </w:p>
    <w:p w:rsidR="00E64849" w:rsidRDefault="00921C76">
      <w:pPr>
        <w:pStyle w:val="a7"/>
        <w:framePr w:w="9091" w:h="13033" w:hRule="exact" w:wrap="around" w:vAnchor="page" w:hAnchor="page" w:x="1424" w:y="1747"/>
        <w:shd w:val="clear" w:color="auto" w:fill="auto"/>
        <w:spacing w:before="0"/>
        <w:ind w:left="20" w:right="20" w:firstLine="300"/>
      </w:pPr>
      <w:r>
        <w:t>З метою підвищення ролі банківської системи в кредитуванні реального сектору економіки також доцільно створити мотивацію для банків. Мож</w:t>
      </w:r>
      <w:r>
        <w:t>ливими стимулами можуть бути:</w:t>
      </w:r>
    </w:p>
    <w:p w:rsidR="00E64849" w:rsidRDefault="00921C76">
      <w:pPr>
        <w:pStyle w:val="a7"/>
        <w:framePr w:w="9091" w:h="13033" w:hRule="exact" w:wrap="around" w:vAnchor="page" w:hAnchor="page" w:x="1424" w:y="1747"/>
        <w:numPr>
          <w:ilvl w:val="0"/>
          <w:numId w:val="2"/>
        </w:numPr>
        <w:shd w:val="clear" w:color="auto" w:fill="auto"/>
        <w:spacing w:before="0"/>
        <w:ind w:left="20" w:right="20" w:firstLine="300"/>
      </w:pPr>
      <w:r>
        <w:t xml:space="preserve"> державні гарантіїпри кредитуванні пріоритетних галузей економіки, зокрема розвиток літако- та суднобудування, військової техніки, комп’ютерних технологій, транспортної системи, металургії та багатьох інших галузей;</w:t>
      </w:r>
    </w:p>
    <w:p w:rsidR="00E64849" w:rsidRDefault="00921C76">
      <w:pPr>
        <w:pStyle w:val="a7"/>
        <w:framePr w:w="9091" w:h="13033" w:hRule="exact" w:wrap="around" w:vAnchor="page" w:hAnchor="page" w:x="1424" w:y="1747"/>
        <w:numPr>
          <w:ilvl w:val="0"/>
          <w:numId w:val="2"/>
        </w:numPr>
        <w:shd w:val="clear" w:color="auto" w:fill="auto"/>
        <w:spacing w:before="0"/>
        <w:ind w:left="20" w:right="20" w:firstLine="300"/>
      </w:pPr>
      <w:r>
        <w:t xml:space="preserve"> податкові</w:t>
      </w:r>
      <w:r>
        <w:t xml:space="preserve"> стимули для надання кредитів реальному сектору економіки, а саме: зменшення оподаткування прибутку банку, отриманого від довгострокових операцій з кредитування пріоритетних напрямів терміном понад 5 років; податкове заохочення банків, які кредитують пріор</w:t>
      </w:r>
      <w:r>
        <w:t>итетні напрями за пільговою ставкою (меншою, ніж середня ставка кредитування, що визначена їх внутрішньою політикою) та інші;</w:t>
      </w:r>
    </w:p>
    <w:p w:rsidR="00E64849" w:rsidRDefault="00921C76">
      <w:pPr>
        <w:pStyle w:val="a7"/>
        <w:framePr w:w="9091" w:h="13033" w:hRule="exact" w:wrap="around" w:vAnchor="page" w:hAnchor="page" w:x="1424" w:y="1747"/>
        <w:numPr>
          <w:ilvl w:val="0"/>
          <w:numId w:val="2"/>
        </w:numPr>
        <w:shd w:val="clear" w:color="auto" w:fill="auto"/>
        <w:spacing w:before="0"/>
        <w:ind w:left="20" w:right="20" w:firstLine="300"/>
      </w:pPr>
      <w:r>
        <w:t xml:space="preserve"> заходи щодо посилення захисту прав кредиторів та судова реформа. Часто на практиці непо</w:t>
      </w:r>
      <w:r>
        <w:softHyphen/>
        <w:t>вернення кредитів здійснюється шляхом фік</w:t>
      </w:r>
      <w:r>
        <w:t xml:space="preserve">тивного банкрутства підприємств-боржників, визнання кредитних угод недійсними з абсурдних причин. Унаслідок значних судових ризиків, складної процедури реалізації заставного майна банки змушені висувати такі умови кредитування, які фактично є недоступними </w:t>
      </w:r>
      <w:r>
        <w:t>та економічно невигідними для реального сектору, а принцип «хороший позичальник платить за поганого», на якому сьогодні базуються кредитні відносини банків зі своїми позичальниками, підривають економіку країни. В такому випадку слід посилити кредитну дисци</w:t>
      </w:r>
      <w:r>
        <w:t>пліну до недобросовіс</w:t>
      </w:r>
      <w:r>
        <w:softHyphen/>
        <w:t>них позичальників, а також спростити систему і зменшити витрати, пов’язані з реалізацією заставного майна, що сприятиме здешевлення вартості кредиту [8, с. 33].</w:t>
      </w:r>
    </w:p>
    <w:p w:rsidR="00E64849" w:rsidRDefault="00921C76">
      <w:pPr>
        <w:pStyle w:val="a7"/>
        <w:framePr w:w="9091" w:h="13033" w:hRule="exact" w:wrap="around" w:vAnchor="page" w:hAnchor="page" w:x="1424" w:y="1747"/>
        <w:shd w:val="clear" w:color="auto" w:fill="auto"/>
        <w:spacing w:before="0"/>
        <w:ind w:left="20" w:right="20" w:firstLine="300"/>
      </w:pPr>
      <w:r>
        <w:t>Отже, оцінюючи модель кредитування, що склалася в Україні на сьогодні, ва</w:t>
      </w:r>
      <w:r>
        <w:t>рто зазначити, що- вона не відповідає задекларованим цілям довгострокового розвитку, а недооцінювання ролі реального сектору економіки в Україні як основної рушійної сили економічного розвитку призводить до втрати конкурентоспроможності вітчизняного виробн</w:t>
      </w:r>
      <w:r>
        <w:t>ицтва, перетворення країни в сировинний придаток розвинутих держав та споживача імпортованих товарів.</w:t>
      </w:r>
    </w:p>
    <w:p w:rsidR="00E64849" w:rsidRDefault="00921C76">
      <w:pPr>
        <w:pStyle w:val="a5"/>
        <w:framePr w:wrap="around" w:vAnchor="page" w:hAnchor="page" w:x="1395" w:y="15563"/>
        <w:shd w:val="clear" w:color="auto" w:fill="auto"/>
        <w:spacing w:line="170" w:lineRule="exact"/>
        <w:ind w:left="20"/>
      </w:pPr>
      <w:r>
        <w:t>118</w:t>
      </w:r>
    </w:p>
    <w:p w:rsidR="00E64849" w:rsidRDefault="00921C76">
      <w:pPr>
        <w:pStyle w:val="24"/>
        <w:framePr w:wrap="around" w:vAnchor="page" w:hAnchor="page" w:x="8317" w:y="15569"/>
        <w:shd w:val="clear" w:color="auto" w:fill="auto"/>
        <w:spacing w:line="130" w:lineRule="exact"/>
        <w:ind w:left="20"/>
      </w:pPr>
      <w:r>
        <w:t>Наука молода № 19, 2013 р.</w:t>
      </w:r>
    </w:p>
    <w:p w:rsidR="00E64849" w:rsidRDefault="00E64849">
      <w:pPr>
        <w:rPr>
          <w:sz w:val="2"/>
          <w:szCs w:val="2"/>
        </w:rPr>
        <w:sectPr w:rsidR="00E6484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64849" w:rsidRDefault="00921C76">
      <w:pPr>
        <w:pStyle w:val="a5"/>
        <w:framePr w:wrap="around" w:vAnchor="page" w:hAnchor="page" w:x="5281" w:y="1282"/>
        <w:shd w:val="clear" w:color="auto" w:fill="auto"/>
        <w:spacing w:line="170" w:lineRule="exact"/>
        <w:ind w:left="20"/>
      </w:pPr>
      <w:r>
        <w:lastRenderedPageBreak/>
        <w:t>Перспективи розвитку фінансово-кредитної системи</w:t>
      </w:r>
    </w:p>
    <w:p w:rsidR="00E64849" w:rsidRDefault="00921C76">
      <w:pPr>
        <w:pStyle w:val="a7"/>
        <w:framePr w:w="9106" w:h="6989" w:hRule="exact" w:wrap="around" w:vAnchor="page" w:hAnchor="page" w:x="1417" w:y="1692"/>
        <w:shd w:val="clear" w:color="auto" w:fill="auto"/>
        <w:spacing w:before="0" w:after="544"/>
        <w:ind w:right="40" w:firstLine="320"/>
      </w:pPr>
      <w:r>
        <w:t xml:space="preserve">Нині пріоритетним напрямом удосконалення кредитної </w:t>
      </w:r>
      <w:r>
        <w:t xml:space="preserve">політики вітчизняними банками має стати забезпечення оздоровлення реального сектору та відновлення темпів економічного зростання в Україні. Саме це є головним завданням в умовах необхідності якнайшвидшого подолання наслідків фінансової кризи у вітчизняній </w:t>
      </w:r>
      <w:r>
        <w:t>економіці та запорукою забезпечення її подальшого розвитку.</w:t>
      </w:r>
    </w:p>
    <w:p w:rsidR="00E64849" w:rsidRDefault="00921C76">
      <w:pPr>
        <w:pStyle w:val="10"/>
        <w:framePr w:w="9106" w:h="6989" w:hRule="exact" w:wrap="around" w:vAnchor="page" w:hAnchor="page" w:x="1417" w:y="1692"/>
        <w:shd w:val="clear" w:color="auto" w:fill="auto"/>
        <w:spacing w:before="0" w:after="150" w:line="170" w:lineRule="exact"/>
        <w:ind w:left="40"/>
      </w:pPr>
      <w:bookmarkStart w:id="1" w:name="bookmark1"/>
      <w:r>
        <w:t>Література</w:t>
      </w:r>
      <w:bookmarkEnd w:id="1"/>
    </w:p>
    <w:p w:rsidR="00E64849" w:rsidRDefault="00921C76">
      <w:pPr>
        <w:pStyle w:val="30"/>
        <w:framePr w:w="9106" w:h="6989" w:hRule="exact" w:wrap="around" w:vAnchor="page" w:hAnchor="page" w:x="1417" w:y="1692"/>
        <w:numPr>
          <w:ilvl w:val="0"/>
          <w:numId w:val="3"/>
        </w:numPr>
        <w:shd w:val="clear" w:color="auto" w:fill="auto"/>
        <w:spacing w:before="0" w:after="0"/>
        <w:ind w:left="720" w:right="40"/>
      </w:pPr>
      <w:r>
        <w:t xml:space="preserve"> Гзєць І. Актуальні проблеми та удосконалення кредитних відносин банківських установ з підприємствами /1. Гзєць //Економіка та держава. - 2006. - № 6. - С. 37-38.</w:t>
      </w:r>
    </w:p>
    <w:p w:rsidR="00E64849" w:rsidRDefault="00921C76">
      <w:pPr>
        <w:pStyle w:val="30"/>
        <w:framePr w:w="9106" w:h="6989" w:hRule="exact" w:wrap="around" w:vAnchor="page" w:hAnchor="page" w:x="1417" w:y="1692"/>
        <w:numPr>
          <w:ilvl w:val="0"/>
          <w:numId w:val="3"/>
        </w:numPr>
        <w:shd w:val="clear" w:color="auto" w:fill="auto"/>
        <w:spacing w:before="0" w:after="0"/>
        <w:ind w:left="720" w:right="40"/>
      </w:pPr>
      <w:r>
        <w:t xml:space="preserve"> Грошово-кредитна стат</w:t>
      </w:r>
      <w:r>
        <w:t xml:space="preserve">истика [Електронний ресурс]. - Режим доступу : </w:t>
      </w:r>
      <w:r>
        <w:rPr>
          <w:lang w:val="en-US" w:eastAsia="en-US" w:bidi="en-US"/>
        </w:rPr>
        <w:t xml:space="preserve">http:// </w:t>
      </w:r>
      <w:hyperlink r:id="rId12" w:history="1">
        <w:r>
          <w:rPr>
            <w:rStyle w:val="a3"/>
            <w:lang w:val="en-US" w:eastAsia="en-US" w:bidi="en-US"/>
          </w:rPr>
          <w:t>www. bank. gov. ua/control/uk/publish/category?cat_id=44579.</w:t>
        </w:r>
      </w:hyperlink>
    </w:p>
    <w:p w:rsidR="00E64849" w:rsidRDefault="00921C76">
      <w:pPr>
        <w:pStyle w:val="30"/>
        <w:framePr w:w="9106" w:h="6989" w:hRule="exact" w:wrap="around" w:vAnchor="page" w:hAnchor="page" w:x="1417" w:y="1692"/>
        <w:numPr>
          <w:ilvl w:val="0"/>
          <w:numId w:val="3"/>
        </w:numPr>
        <w:shd w:val="clear" w:color="auto" w:fill="auto"/>
        <w:spacing w:before="0" w:after="0"/>
        <w:ind w:left="720" w:right="40"/>
      </w:pPr>
      <w:r>
        <w:rPr>
          <w:lang w:val="en-US" w:eastAsia="en-US" w:bidi="en-US"/>
        </w:rPr>
        <w:t xml:space="preserve"> </w:t>
      </w:r>
      <w:r>
        <w:t xml:space="preserve">Квасницька </w:t>
      </w:r>
      <w:r>
        <w:rPr>
          <w:lang w:val="en-US" w:eastAsia="en-US" w:bidi="en-US"/>
        </w:rPr>
        <w:t xml:space="preserve">P. C. </w:t>
      </w:r>
      <w:r>
        <w:t>Банківське кредитування підприємницької дія</w:t>
      </w:r>
      <w:r>
        <w:t>льності в Україні [Електрон</w:t>
      </w:r>
      <w:r>
        <w:softHyphen/>
        <w:t xml:space="preserve">ний ресурс] /Р С. Квасницька, А. О. Барабаш. - Режимдоступу: </w:t>
      </w:r>
      <w:hyperlink r:id="rId13" w:history="1">
        <w:r>
          <w:rPr>
            <w:rStyle w:val="a3"/>
            <w:lang w:val="en-US" w:eastAsia="en-US" w:bidi="en-US"/>
          </w:rPr>
          <w:t>http://nauka.zinet.info/9/</w:t>
        </w:r>
      </w:hyperlink>
      <w:r>
        <w:rPr>
          <w:lang w:val="en-US" w:eastAsia="en-US" w:bidi="en-US"/>
        </w:rPr>
        <w:t xml:space="preserve"> barabash.php.</w:t>
      </w:r>
    </w:p>
    <w:p w:rsidR="00E64849" w:rsidRDefault="00921C76">
      <w:pPr>
        <w:pStyle w:val="30"/>
        <w:framePr w:w="9106" w:h="6989" w:hRule="exact" w:wrap="around" w:vAnchor="page" w:hAnchor="page" w:x="1417" w:y="1692"/>
        <w:numPr>
          <w:ilvl w:val="0"/>
          <w:numId w:val="3"/>
        </w:numPr>
        <w:shd w:val="clear" w:color="auto" w:fill="auto"/>
        <w:spacing w:before="0" w:after="0"/>
        <w:ind w:left="720" w:right="40"/>
      </w:pPr>
      <w:r>
        <w:t xml:space="preserve"> Кравчук В. Криза кредитування в Україні: факти, причини та шляхи подолання [Електрон</w:t>
      </w:r>
      <w:r>
        <w:softHyphen/>
        <w:t xml:space="preserve">ний ресурс]/В. Кравчук, Р Кірхнер, Р Джуччі. - Режим доступу: </w:t>
      </w:r>
      <w:hyperlink r:id="rId14" w:history="1">
        <w:r>
          <w:rPr>
            <w:rStyle w:val="a3"/>
            <w:lang w:val="en-US" w:eastAsia="en-US" w:bidi="en-US"/>
          </w:rPr>
          <w:t>http://www.ier.com.ua/ua/</w:t>
        </w:r>
      </w:hyperlink>
      <w:r>
        <w:rPr>
          <w:lang w:val="en-US" w:eastAsia="en-US" w:bidi="en-US"/>
        </w:rPr>
        <w:t xml:space="preserve"> publications/consultancy_work/archive_2010/?pid=2469.</w:t>
      </w:r>
    </w:p>
    <w:p w:rsidR="00E64849" w:rsidRDefault="00921C76">
      <w:pPr>
        <w:pStyle w:val="30"/>
        <w:framePr w:w="9106" w:h="6989" w:hRule="exact" w:wrap="around" w:vAnchor="page" w:hAnchor="page" w:x="1417" w:y="1692"/>
        <w:numPr>
          <w:ilvl w:val="0"/>
          <w:numId w:val="3"/>
        </w:numPr>
        <w:shd w:val="clear" w:color="auto" w:fill="auto"/>
        <w:tabs>
          <w:tab w:val="left" w:pos="687"/>
        </w:tabs>
        <w:spacing w:before="0" w:after="0"/>
        <w:ind w:left="720" w:right="40"/>
      </w:pPr>
      <w:r>
        <w:t xml:space="preserve">Основні показники діяльності банків України [Електронний ресурс]. - Режим доступу : </w:t>
      </w:r>
      <w:hyperlink r:id="rId15" w:history="1">
        <w:r>
          <w:rPr>
            <w:rStyle w:val="a3"/>
            <w:lang w:val="en-US" w:eastAsia="en-US" w:bidi="en-US"/>
          </w:rPr>
          <w:t>http://www. bank.gov.ua/control/uk/publish/article?art_id=36807&amp;cat_id=36798.</w:t>
        </w:r>
      </w:hyperlink>
    </w:p>
    <w:p w:rsidR="00E64849" w:rsidRDefault="00921C76">
      <w:pPr>
        <w:pStyle w:val="30"/>
        <w:framePr w:w="9106" w:h="6989" w:hRule="exact" w:wrap="around" w:vAnchor="page" w:hAnchor="page" w:x="1417" w:y="1692"/>
        <w:numPr>
          <w:ilvl w:val="0"/>
          <w:numId w:val="3"/>
        </w:numPr>
        <w:shd w:val="clear" w:color="auto" w:fill="auto"/>
        <w:tabs>
          <w:tab w:val="left" w:pos="687"/>
        </w:tabs>
        <w:spacing w:before="0" w:after="0"/>
        <w:ind w:left="720" w:right="40"/>
      </w:pPr>
      <w:r>
        <w:t>Офі</w:t>
      </w:r>
      <w:r>
        <w:t>ційний сайт Державного комітету статистики [Електронний ресурс]. - Режим до</w:t>
      </w:r>
      <w:r>
        <w:softHyphen/>
        <w:t xml:space="preserve">ступу : </w:t>
      </w:r>
      <w:hyperlink r:id="rId16" w:history="1">
        <w:r>
          <w:rPr>
            <w:rStyle w:val="a3"/>
            <w:lang w:val="en-US" w:eastAsia="en-US" w:bidi="en-US"/>
          </w:rPr>
          <w:t>http://www. ukrstat. gov. ua/.</w:t>
        </w:r>
      </w:hyperlink>
    </w:p>
    <w:p w:rsidR="00E64849" w:rsidRDefault="00921C76">
      <w:pPr>
        <w:pStyle w:val="30"/>
        <w:framePr w:w="9106" w:h="6989" w:hRule="exact" w:wrap="around" w:vAnchor="page" w:hAnchor="page" w:x="1417" w:y="1692"/>
        <w:numPr>
          <w:ilvl w:val="0"/>
          <w:numId w:val="3"/>
        </w:numPr>
        <w:shd w:val="clear" w:color="auto" w:fill="auto"/>
        <w:spacing w:before="0" w:after="0"/>
        <w:ind w:left="720" w:right="40"/>
      </w:pPr>
      <w:r>
        <w:rPr>
          <w:lang w:val="en-US" w:eastAsia="en-US" w:bidi="en-US"/>
        </w:rPr>
        <w:t xml:space="preserve"> </w:t>
      </w:r>
      <w:r>
        <w:t xml:space="preserve">Пантєлєєва </w:t>
      </w:r>
      <w:r>
        <w:rPr>
          <w:lang w:val="en-US" w:eastAsia="en-US" w:bidi="en-US"/>
        </w:rPr>
        <w:t xml:space="preserve">H. </w:t>
      </w:r>
      <w:r>
        <w:t>М. Диверсифікація банківського бізнесу: стратегії, продукти та технології</w:t>
      </w:r>
      <w:r>
        <w:rPr>
          <w:rStyle w:val="3David12pt0pt"/>
        </w:rPr>
        <w:t xml:space="preserve"> / </w:t>
      </w:r>
      <w:r>
        <w:t>Н. М. Па</w:t>
      </w:r>
      <w:r>
        <w:t>нтєлєєва // Фінансово-кредитна діяльність: проблеми теорії та практики. - 2011. - № 22 (11). - С. 83-89.</w:t>
      </w:r>
    </w:p>
    <w:p w:rsidR="00E64849" w:rsidRDefault="00921C76">
      <w:pPr>
        <w:pStyle w:val="30"/>
        <w:framePr w:w="9106" w:h="6989" w:hRule="exact" w:wrap="around" w:vAnchor="page" w:hAnchor="page" w:x="1417" w:y="1692"/>
        <w:numPr>
          <w:ilvl w:val="0"/>
          <w:numId w:val="3"/>
        </w:numPr>
        <w:shd w:val="clear" w:color="auto" w:fill="auto"/>
        <w:spacing w:before="0" w:after="0"/>
        <w:ind w:left="720" w:right="40"/>
      </w:pPr>
      <w:r>
        <w:t xml:space="preserve"> Сомик А. Сучасний стан та напрями стимулювання інвестиційного кредитування в Україні</w:t>
      </w:r>
      <w:r>
        <w:rPr>
          <w:rStyle w:val="3David12pt0pt"/>
        </w:rPr>
        <w:t xml:space="preserve"> / </w:t>
      </w:r>
      <w:r>
        <w:t>А. Сомик, С. Жуйков // Вісник Національного банку України. - 20</w:t>
      </w:r>
      <w:r>
        <w:t>10. - № 7. - С. 28-34.</w:t>
      </w:r>
    </w:p>
    <w:p w:rsidR="00E64849" w:rsidRDefault="00921C76">
      <w:pPr>
        <w:pStyle w:val="24"/>
        <w:framePr w:wrap="around" w:vAnchor="page" w:hAnchor="page" w:x="1402" w:y="15538"/>
        <w:shd w:val="clear" w:color="auto" w:fill="auto"/>
        <w:spacing w:line="130" w:lineRule="exact"/>
        <w:ind w:left="20"/>
      </w:pPr>
      <w:r>
        <w:t>Наука молода № 19, 2013 р.</w:t>
      </w:r>
    </w:p>
    <w:p w:rsidR="00E64849" w:rsidRDefault="00921C76">
      <w:pPr>
        <w:pStyle w:val="a5"/>
        <w:framePr w:wrap="around" w:vAnchor="page" w:hAnchor="page" w:x="10186" w:y="15561"/>
        <w:shd w:val="clear" w:color="auto" w:fill="auto"/>
        <w:spacing w:line="170" w:lineRule="exact"/>
        <w:ind w:left="20"/>
      </w:pPr>
      <w:r>
        <w:t>119</w:t>
      </w:r>
    </w:p>
    <w:p w:rsidR="00E64849" w:rsidRDefault="00E64849">
      <w:pPr>
        <w:rPr>
          <w:sz w:val="2"/>
          <w:szCs w:val="2"/>
        </w:rPr>
      </w:pPr>
    </w:p>
    <w:sectPr w:rsidR="00E64849" w:rsidSect="00E6484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C76" w:rsidRDefault="00921C76" w:rsidP="00E64849">
      <w:r>
        <w:separator/>
      </w:r>
    </w:p>
  </w:endnote>
  <w:endnote w:type="continuationSeparator" w:id="1">
    <w:p w:rsidR="00921C76" w:rsidRDefault="00921C76" w:rsidP="00E64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C76" w:rsidRDefault="00921C76"/>
  </w:footnote>
  <w:footnote w:type="continuationSeparator" w:id="1">
    <w:p w:rsidR="00921C76" w:rsidRDefault="00921C7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97736"/>
    <w:multiLevelType w:val="multilevel"/>
    <w:tmpl w:val="423E9768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B82B69"/>
    <w:multiLevelType w:val="multilevel"/>
    <w:tmpl w:val="97FC15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6205A4"/>
    <w:multiLevelType w:val="multilevel"/>
    <w:tmpl w:val="456CCD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64849"/>
    <w:rsid w:val="00243B81"/>
    <w:rsid w:val="00921C76"/>
    <w:rsid w:val="00E6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48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4849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E64849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2">
    <w:name w:val="Заголовок №2_"/>
    <w:basedOn w:val="a0"/>
    <w:link w:val="20"/>
    <w:rsid w:val="00E64849"/>
    <w:rPr>
      <w:rFonts w:ascii="Arial" w:eastAsia="Arial" w:hAnsi="Arial" w:cs="Arial"/>
      <w:b/>
      <w:bCs/>
      <w:i/>
      <w:iCs/>
      <w:smallCaps w:val="0"/>
      <w:strike w:val="0"/>
      <w:spacing w:val="1"/>
      <w:sz w:val="17"/>
      <w:szCs w:val="17"/>
      <w:u w:val="none"/>
    </w:rPr>
  </w:style>
  <w:style w:type="character" w:customStyle="1" w:styleId="21">
    <w:name w:val="Основний текст (2)_"/>
    <w:basedOn w:val="a0"/>
    <w:link w:val="22"/>
    <w:rsid w:val="00E64849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3">
    <w:name w:val="Основний текст (3)_"/>
    <w:basedOn w:val="a0"/>
    <w:link w:val="30"/>
    <w:rsid w:val="00E64849"/>
    <w:rPr>
      <w:rFonts w:ascii="Arial" w:eastAsia="Arial" w:hAnsi="Arial" w:cs="Arial"/>
      <w:b w:val="0"/>
      <w:bCs w:val="0"/>
      <w:i/>
      <w:iCs/>
      <w:smallCaps w:val="0"/>
      <w:strike w:val="0"/>
      <w:spacing w:val="-1"/>
      <w:sz w:val="19"/>
      <w:szCs w:val="19"/>
      <w:u w:val="none"/>
    </w:rPr>
  </w:style>
  <w:style w:type="character" w:customStyle="1" w:styleId="3David12pt0pt">
    <w:name w:val="Основний текст (3) + David;12 pt;Не курсив;Інтервал 0 pt"/>
    <w:basedOn w:val="3"/>
    <w:rsid w:val="00E64849"/>
    <w:rPr>
      <w:rFonts w:ascii="David" w:eastAsia="David" w:hAnsi="David" w:cs="David"/>
      <w:i/>
      <w:i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385pt0pt">
    <w:name w:val="Основний текст (3) + 8;5 pt;Не курсив;Інтервал 0 pt"/>
    <w:basedOn w:val="3"/>
    <w:rsid w:val="00E64849"/>
    <w:rPr>
      <w:i/>
      <w:iCs/>
      <w:color w:val="000000"/>
      <w:spacing w:val="2"/>
      <w:w w:val="100"/>
      <w:position w:val="0"/>
      <w:sz w:val="17"/>
      <w:szCs w:val="17"/>
      <w:lang w:val="uk-UA" w:eastAsia="uk-UA" w:bidi="uk-UA"/>
    </w:rPr>
  </w:style>
  <w:style w:type="character" w:customStyle="1" w:styleId="a6">
    <w:name w:val="Основний текст_"/>
    <w:basedOn w:val="a0"/>
    <w:link w:val="a7"/>
    <w:rsid w:val="00E64849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4">
    <w:name w:val="Основний текст (4)_"/>
    <w:basedOn w:val="a0"/>
    <w:link w:val="40"/>
    <w:rsid w:val="00E6484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23">
    <w:name w:val="Колонтитул (2)_"/>
    <w:basedOn w:val="a0"/>
    <w:link w:val="24"/>
    <w:rsid w:val="00E64849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3"/>
      <w:szCs w:val="13"/>
      <w:u w:val="none"/>
    </w:rPr>
  </w:style>
  <w:style w:type="character" w:customStyle="1" w:styleId="31">
    <w:name w:val="Колонтитул (3)_"/>
    <w:basedOn w:val="a0"/>
    <w:link w:val="32"/>
    <w:rsid w:val="00E64849"/>
    <w:rPr>
      <w:b/>
      <w:bCs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5">
    <w:name w:val="Основний текст (5)_"/>
    <w:basedOn w:val="a0"/>
    <w:link w:val="50"/>
    <w:rsid w:val="00E64849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50pt">
    <w:name w:val="Основний текст (5) + Не напівжирний;Інтервал 0 pt"/>
    <w:basedOn w:val="5"/>
    <w:rsid w:val="00E64849"/>
    <w:rPr>
      <w:b/>
      <w:bCs/>
      <w:color w:val="000000"/>
      <w:spacing w:val="2"/>
      <w:w w:val="100"/>
      <w:position w:val="0"/>
      <w:lang w:val="en-US" w:eastAsia="en-US" w:bidi="en-US"/>
    </w:rPr>
  </w:style>
  <w:style w:type="character" w:customStyle="1" w:styleId="65pt0pt">
    <w:name w:val="Основний текст + 6;5 pt;Напівжирний;Інтервал 0 pt"/>
    <w:basedOn w:val="a6"/>
    <w:rsid w:val="00E64849"/>
    <w:rPr>
      <w:b/>
      <w:bCs/>
      <w:color w:val="000000"/>
      <w:spacing w:val="3"/>
      <w:w w:val="100"/>
      <w:position w:val="0"/>
      <w:sz w:val="13"/>
      <w:szCs w:val="13"/>
      <w:lang w:val="uk-UA" w:eastAsia="uk-UA" w:bidi="uk-UA"/>
    </w:rPr>
  </w:style>
  <w:style w:type="character" w:customStyle="1" w:styleId="7pt">
    <w:name w:val="Основний текст + 7 pt"/>
    <w:basedOn w:val="a6"/>
    <w:rsid w:val="00E64849"/>
    <w:rPr>
      <w:color w:val="000000"/>
      <w:w w:val="100"/>
      <w:position w:val="0"/>
      <w:sz w:val="14"/>
      <w:szCs w:val="14"/>
      <w:lang w:val="uk-UA" w:eastAsia="uk-UA" w:bidi="uk-UA"/>
    </w:rPr>
  </w:style>
  <w:style w:type="character" w:customStyle="1" w:styleId="a8">
    <w:name w:val="Підпис до таблиці_"/>
    <w:basedOn w:val="a0"/>
    <w:link w:val="a9"/>
    <w:rsid w:val="00E64849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aa">
    <w:name w:val="Підпис до зображення_"/>
    <w:basedOn w:val="a0"/>
    <w:link w:val="ab"/>
    <w:rsid w:val="00E64849"/>
    <w:rPr>
      <w:rFonts w:ascii="Arial" w:eastAsia="Arial" w:hAnsi="Arial" w:cs="Arial"/>
      <w:b/>
      <w:bCs/>
      <w:i/>
      <w:iCs/>
      <w:smallCaps w:val="0"/>
      <w:strike w:val="0"/>
      <w:spacing w:val="1"/>
      <w:sz w:val="17"/>
      <w:szCs w:val="17"/>
      <w:u w:val="none"/>
    </w:rPr>
  </w:style>
  <w:style w:type="character" w:customStyle="1" w:styleId="0pt">
    <w:name w:val="Підпис до зображення + Не курсив;Інтервал 0 pt"/>
    <w:basedOn w:val="aa"/>
    <w:rsid w:val="00E64849"/>
    <w:rPr>
      <w:i/>
      <w:iCs/>
      <w:color w:val="000000"/>
      <w:spacing w:val="3"/>
      <w:w w:val="100"/>
      <w:position w:val="0"/>
      <w:lang w:val="uk-UA" w:eastAsia="uk-UA" w:bidi="uk-UA"/>
    </w:rPr>
  </w:style>
  <w:style w:type="character" w:customStyle="1" w:styleId="6">
    <w:name w:val="Основний текст (6)_"/>
    <w:basedOn w:val="a0"/>
    <w:link w:val="60"/>
    <w:rsid w:val="00E64849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7pt0">
    <w:name w:val="Основний текст + 7 pt"/>
    <w:basedOn w:val="a6"/>
    <w:rsid w:val="00E64849"/>
    <w:rPr>
      <w:color w:val="000000"/>
      <w:w w:val="100"/>
      <w:position w:val="0"/>
      <w:sz w:val="14"/>
      <w:szCs w:val="14"/>
      <w:lang w:val="en-US" w:eastAsia="en-US" w:bidi="en-US"/>
    </w:rPr>
  </w:style>
  <w:style w:type="character" w:customStyle="1" w:styleId="7">
    <w:name w:val="Основний текст (7)_"/>
    <w:basedOn w:val="a0"/>
    <w:link w:val="70"/>
    <w:rsid w:val="00E64849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71">
    <w:name w:val="Основний текст (7)"/>
    <w:basedOn w:val="7"/>
    <w:rsid w:val="00E64849"/>
    <w:rPr>
      <w:color w:val="000000"/>
      <w:w w:val="100"/>
      <w:position w:val="0"/>
      <w:lang w:val="uk-UA" w:eastAsia="uk-UA" w:bidi="uk-UA"/>
    </w:rPr>
  </w:style>
  <w:style w:type="character" w:customStyle="1" w:styleId="72">
    <w:name w:val="Основний текст (7)"/>
    <w:basedOn w:val="7"/>
    <w:rsid w:val="00E64849"/>
    <w:rPr>
      <w:color w:val="000000"/>
      <w:w w:val="100"/>
      <w:position w:val="0"/>
      <w:lang w:val="uk-UA" w:eastAsia="uk-UA" w:bidi="uk-UA"/>
    </w:rPr>
  </w:style>
  <w:style w:type="character" w:customStyle="1" w:styleId="73">
    <w:name w:val="Основний текст (7)"/>
    <w:basedOn w:val="7"/>
    <w:rsid w:val="00E64849"/>
    <w:rPr>
      <w:color w:val="000000"/>
      <w:w w:val="100"/>
      <w:position w:val="0"/>
      <w:lang w:val="uk-UA" w:eastAsia="uk-UA" w:bidi="uk-UA"/>
    </w:rPr>
  </w:style>
  <w:style w:type="character" w:customStyle="1" w:styleId="74">
    <w:name w:val="Основний текст (7)"/>
    <w:basedOn w:val="7"/>
    <w:rsid w:val="00E64849"/>
    <w:rPr>
      <w:color w:val="000000"/>
      <w:w w:val="100"/>
      <w:position w:val="0"/>
      <w:lang w:val="uk-UA" w:eastAsia="uk-UA" w:bidi="uk-UA"/>
    </w:rPr>
  </w:style>
  <w:style w:type="character" w:customStyle="1" w:styleId="25">
    <w:name w:val="Підпис до зображення (2)_"/>
    <w:basedOn w:val="a0"/>
    <w:link w:val="26"/>
    <w:rsid w:val="00E6484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33">
    <w:name w:val="Підпис до зображення (3)_"/>
    <w:basedOn w:val="a0"/>
    <w:link w:val="34"/>
    <w:rsid w:val="00E64849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75pt0pt">
    <w:name w:val="Основний текст + 7;5 pt;Напівжирний;Інтервал 0 pt"/>
    <w:basedOn w:val="a6"/>
    <w:rsid w:val="00E64849"/>
    <w:rPr>
      <w:b/>
      <w:bCs/>
      <w:color w:val="000000"/>
      <w:spacing w:val="0"/>
      <w:w w:val="100"/>
      <w:position w:val="0"/>
      <w:sz w:val="15"/>
      <w:szCs w:val="15"/>
      <w:lang w:val="uk-UA" w:eastAsia="uk-UA" w:bidi="uk-UA"/>
    </w:rPr>
  </w:style>
  <w:style w:type="character" w:customStyle="1" w:styleId="1">
    <w:name w:val="Заголовок №1_"/>
    <w:basedOn w:val="a0"/>
    <w:link w:val="10"/>
    <w:rsid w:val="00E64849"/>
    <w:rPr>
      <w:rFonts w:ascii="Arial" w:eastAsia="Arial" w:hAnsi="Arial" w:cs="Arial"/>
      <w:b/>
      <w:bCs/>
      <w:i/>
      <w:iCs/>
      <w:smallCaps w:val="0"/>
      <w:strike w:val="0"/>
      <w:spacing w:val="1"/>
      <w:sz w:val="17"/>
      <w:szCs w:val="17"/>
      <w:u w:val="none"/>
    </w:rPr>
  </w:style>
  <w:style w:type="paragraph" w:customStyle="1" w:styleId="a5">
    <w:name w:val="Колонтитул"/>
    <w:basedOn w:val="a"/>
    <w:link w:val="a4"/>
    <w:rsid w:val="00E64849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4"/>
      <w:sz w:val="17"/>
      <w:szCs w:val="17"/>
    </w:rPr>
  </w:style>
  <w:style w:type="paragraph" w:customStyle="1" w:styleId="20">
    <w:name w:val="Заголовок №2"/>
    <w:basedOn w:val="a"/>
    <w:link w:val="2"/>
    <w:rsid w:val="00E64849"/>
    <w:pPr>
      <w:shd w:val="clear" w:color="auto" w:fill="FFFFFF"/>
      <w:spacing w:after="480" w:line="0" w:lineRule="atLeast"/>
      <w:jc w:val="right"/>
      <w:outlineLvl w:val="1"/>
    </w:pPr>
    <w:rPr>
      <w:rFonts w:ascii="Arial" w:eastAsia="Arial" w:hAnsi="Arial" w:cs="Arial"/>
      <w:b/>
      <w:bCs/>
      <w:i/>
      <w:iCs/>
      <w:spacing w:val="1"/>
      <w:sz w:val="17"/>
      <w:szCs w:val="17"/>
    </w:rPr>
  </w:style>
  <w:style w:type="paragraph" w:customStyle="1" w:styleId="22">
    <w:name w:val="Основний текст (2)"/>
    <w:basedOn w:val="a"/>
    <w:link w:val="21"/>
    <w:rsid w:val="00E64849"/>
    <w:pPr>
      <w:shd w:val="clear" w:color="auto" w:fill="FFFFFF"/>
      <w:spacing w:before="480" w:after="180" w:line="298" w:lineRule="exact"/>
      <w:jc w:val="center"/>
    </w:pPr>
    <w:rPr>
      <w:rFonts w:ascii="Palatino Linotype" w:eastAsia="Palatino Linotype" w:hAnsi="Palatino Linotype" w:cs="Palatino Linotype"/>
      <w:b/>
      <w:bCs/>
      <w:spacing w:val="4"/>
      <w:sz w:val="19"/>
      <w:szCs w:val="19"/>
    </w:rPr>
  </w:style>
  <w:style w:type="paragraph" w:customStyle="1" w:styleId="30">
    <w:name w:val="Основний текст (3)"/>
    <w:basedOn w:val="a"/>
    <w:link w:val="3"/>
    <w:rsid w:val="00E64849"/>
    <w:pPr>
      <w:shd w:val="clear" w:color="auto" w:fill="FFFFFF"/>
      <w:spacing w:before="180" w:after="180" w:line="250" w:lineRule="exact"/>
      <w:ind w:hanging="400"/>
      <w:jc w:val="both"/>
    </w:pPr>
    <w:rPr>
      <w:rFonts w:ascii="Arial" w:eastAsia="Arial" w:hAnsi="Arial" w:cs="Arial"/>
      <w:i/>
      <w:iCs/>
      <w:spacing w:val="-1"/>
      <w:sz w:val="19"/>
      <w:szCs w:val="19"/>
    </w:rPr>
  </w:style>
  <w:style w:type="paragraph" w:customStyle="1" w:styleId="a7">
    <w:name w:val="Основний текст"/>
    <w:basedOn w:val="a"/>
    <w:link w:val="a6"/>
    <w:rsid w:val="00E64849"/>
    <w:pPr>
      <w:shd w:val="clear" w:color="auto" w:fill="FFFFFF"/>
      <w:spacing w:before="180" w:line="250" w:lineRule="exact"/>
      <w:jc w:val="both"/>
    </w:pPr>
    <w:rPr>
      <w:rFonts w:ascii="Arial" w:eastAsia="Arial" w:hAnsi="Arial" w:cs="Arial"/>
      <w:spacing w:val="2"/>
      <w:sz w:val="17"/>
      <w:szCs w:val="17"/>
    </w:rPr>
  </w:style>
  <w:style w:type="paragraph" w:customStyle="1" w:styleId="40">
    <w:name w:val="Основний текст (4)"/>
    <w:basedOn w:val="a"/>
    <w:link w:val="4"/>
    <w:rsid w:val="00E64849"/>
    <w:pPr>
      <w:shd w:val="clear" w:color="auto" w:fill="FFFFFF"/>
      <w:spacing w:before="300" w:line="0" w:lineRule="atLeast"/>
    </w:pPr>
    <w:rPr>
      <w:rFonts w:ascii="Palatino Linotype" w:eastAsia="Palatino Linotype" w:hAnsi="Palatino Linotype" w:cs="Palatino Linotype"/>
      <w:spacing w:val="2"/>
      <w:sz w:val="13"/>
      <w:szCs w:val="13"/>
    </w:rPr>
  </w:style>
  <w:style w:type="paragraph" w:customStyle="1" w:styleId="24">
    <w:name w:val="Колонтитул (2)"/>
    <w:basedOn w:val="a"/>
    <w:link w:val="23"/>
    <w:rsid w:val="00E64849"/>
    <w:pPr>
      <w:shd w:val="clear" w:color="auto" w:fill="FFFFFF"/>
      <w:spacing w:line="0" w:lineRule="atLeast"/>
    </w:pPr>
    <w:rPr>
      <w:rFonts w:ascii="Arial" w:eastAsia="Arial" w:hAnsi="Arial" w:cs="Arial"/>
      <w:spacing w:val="3"/>
      <w:sz w:val="13"/>
      <w:szCs w:val="13"/>
    </w:rPr>
  </w:style>
  <w:style w:type="paragraph" w:customStyle="1" w:styleId="32">
    <w:name w:val="Колонтитул (3)"/>
    <w:basedOn w:val="a"/>
    <w:link w:val="31"/>
    <w:rsid w:val="00E64849"/>
    <w:pPr>
      <w:shd w:val="clear" w:color="auto" w:fill="FFFFFF"/>
      <w:spacing w:after="60" w:line="0" w:lineRule="atLeast"/>
    </w:pPr>
    <w:rPr>
      <w:b/>
      <w:bCs/>
      <w:spacing w:val="-3"/>
      <w:sz w:val="14"/>
      <w:szCs w:val="14"/>
    </w:rPr>
  </w:style>
  <w:style w:type="paragraph" w:customStyle="1" w:styleId="50">
    <w:name w:val="Основний текст (5)"/>
    <w:basedOn w:val="a"/>
    <w:link w:val="5"/>
    <w:rsid w:val="00E64849"/>
    <w:pPr>
      <w:shd w:val="clear" w:color="auto" w:fill="FFFFFF"/>
      <w:spacing w:after="240" w:line="250" w:lineRule="exact"/>
    </w:pPr>
    <w:rPr>
      <w:rFonts w:ascii="Arial" w:eastAsia="Arial" w:hAnsi="Arial" w:cs="Arial"/>
      <w:b/>
      <w:bCs/>
      <w:spacing w:val="3"/>
      <w:sz w:val="17"/>
      <w:szCs w:val="17"/>
    </w:rPr>
  </w:style>
  <w:style w:type="paragraph" w:customStyle="1" w:styleId="a9">
    <w:name w:val="Підпис до таблиці"/>
    <w:basedOn w:val="a"/>
    <w:link w:val="a8"/>
    <w:rsid w:val="00E64849"/>
    <w:pPr>
      <w:shd w:val="clear" w:color="auto" w:fill="FFFFFF"/>
      <w:spacing w:line="0" w:lineRule="atLeast"/>
    </w:pPr>
    <w:rPr>
      <w:rFonts w:ascii="Arial" w:eastAsia="Arial" w:hAnsi="Arial" w:cs="Arial"/>
      <w:spacing w:val="3"/>
      <w:sz w:val="15"/>
      <w:szCs w:val="15"/>
    </w:rPr>
  </w:style>
  <w:style w:type="paragraph" w:customStyle="1" w:styleId="ab">
    <w:name w:val="Підпис до зображення"/>
    <w:basedOn w:val="a"/>
    <w:link w:val="aa"/>
    <w:rsid w:val="00E64849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i/>
      <w:iCs/>
      <w:spacing w:val="1"/>
      <w:sz w:val="17"/>
      <w:szCs w:val="17"/>
    </w:rPr>
  </w:style>
  <w:style w:type="paragraph" w:customStyle="1" w:styleId="60">
    <w:name w:val="Основний текст (6)"/>
    <w:basedOn w:val="a"/>
    <w:link w:val="6"/>
    <w:rsid w:val="00E64849"/>
    <w:pPr>
      <w:shd w:val="clear" w:color="auto" w:fill="FFFFFF"/>
      <w:spacing w:after="240" w:line="0" w:lineRule="atLeast"/>
    </w:pPr>
    <w:rPr>
      <w:rFonts w:ascii="Arial" w:eastAsia="Arial" w:hAnsi="Arial" w:cs="Arial"/>
      <w:spacing w:val="3"/>
      <w:sz w:val="15"/>
      <w:szCs w:val="15"/>
    </w:rPr>
  </w:style>
  <w:style w:type="paragraph" w:customStyle="1" w:styleId="70">
    <w:name w:val="Основний текст (7)"/>
    <w:basedOn w:val="a"/>
    <w:link w:val="7"/>
    <w:rsid w:val="00E64849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2"/>
      <w:sz w:val="14"/>
      <w:szCs w:val="14"/>
    </w:rPr>
  </w:style>
  <w:style w:type="paragraph" w:customStyle="1" w:styleId="26">
    <w:name w:val="Підпис до зображення (2)"/>
    <w:basedOn w:val="a"/>
    <w:link w:val="25"/>
    <w:rsid w:val="00E64849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pacing w:val="6"/>
      <w:sz w:val="14"/>
      <w:szCs w:val="14"/>
    </w:rPr>
  </w:style>
  <w:style w:type="paragraph" w:customStyle="1" w:styleId="34">
    <w:name w:val="Підпис до зображення (3)"/>
    <w:basedOn w:val="a"/>
    <w:link w:val="33"/>
    <w:rsid w:val="00E64849"/>
    <w:pPr>
      <w:shd w:val="clear" w:color="auto" w:fill="FFFFFF"/>
      <w:spacing w:before="180" w:line="0" w:lineRule="atLeast"/>
    </w:pPr>
    <w:rPr>
      <w:rFonts w:ascii="Arial" w:eastAsia="Arial" w:hAnsi="Arial" w:cs="Arial"/>
      <w:spacing w:val="2"/>
      <w:sz w:val="14"/>
      <w:szCs w:val="14"/>
    </w:rPr>
  </w:style>
  <w:style w:type="paragraph" w:customStyle="1" w:styleId="10">
    <w:name w:val="Заголовок №1"/>
    <w:basedOn w:val="a"/>
    <w:link w:val="1"/>
    <w:rsid w:val="00E64849"/>
    <w:pPr>
      <w:shd w:val="clear" w:color="auto" w:fill="FFFFFF"/>
      <w:spacing w:before="480" w:after="240" w:line="0" w:lineRule="atLeast"/>
      <w:jc w:val="center"/>
      <w:outlineLvl w:val="0"/>
    </w:pPr>
    <w:rPr>
      <w:rFonts w:ascii="Arial" w:eastAsia="Arial" w:hAnsi="Arial" w:cs="Arial"/>
      <w:b/>
      <w:bCs/>
      <w:i/>
      <w:iCs/>
      <w:spacing w:val="1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LIBRARY\AppData\Local\Temp\FineReader11.00\media\image1.jpeg" TargetMode="External"/><Relationship Id="rId13" Type="http://schemas.openxmlformats.org/officeDocument/2006/relationships/hyperlink" Target="http://nauka.zinet.info/9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ank.gov.ua/control/uk/publish/category?cat_id=44579.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krstat.gov.ua/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C:\Users\LIBRARY\AppData\Local\Temp\FineReader11.00\media\image3.jpe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ank.gov.ua/control/uk/publish/article?art_id=36807&amp;cat_id=36798.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ier.com.ua/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15503</Words>
  <Characters>8837</Characters>
  <Application>Microsoft Office Word</Application>
  <DocSecurity>0</DocSecurity>
  <Lines>73</Lines>
  <Paragraphs>48</Paragraphs>
  <ScaleCrop>false</ScaleCrop>
  <Company>Microsoft</Company>
  <LinksUpToDate>false</LinksUpToDate>
  <CharactersWithSpaces>24292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2</cp:revision>
  <dcterms:created xsi:type="dcterms:W3CDTF">2017-06-14T09:31:00Z</dcterms:created>
  <dcterms:modified xsi:type="dcterms:W3CDTF">2017-06-14T09:32:00Z</dcterms:modified>
</cp:coreProperties>
</file>