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2B8" w:rsidRDefault="00A82BE8">
      <w:pPr>
        <w:pStyle w:val="20"/>
        <w:framePr w:w="3518" w:h="466" w:hRule="exact" w:wrap="around" w:vAnchor="page" w:hAnchor="page" w:x="1393" w:y="1064"/>
        <w:shd w:val="clear" w:color="auto" w:fill="auto"/>
        <w:spacing w:after="47" w:line="130" w:lineRule="exact"/>
        <w:ind w:left="40"/>
      </w:pPr>
      <w:r>
        <w:t>О. Тарасевич, О. Перькова</w:t>
      </w:r>
    </w:p>
    <w:p w:rsidR="007032B8" w:rsidRDefault="00A82BE8">
      <w:pPr>
        <w:pStyle w:val="a5"/>
        <w:framePr w:w="3518" w:h="466" w:hRule="exact" w:wrap="around" w:vAnchor="page" w:hAnchor="page" w:x="1393" w:y="1064"/>
        <w:shd w:val="clear" w:color="auto" w:fill="auto"/>
        <w:spacing w:before="0" w:line="170" w:lineRule="exact"/>
        <w:ind w:left="40"/>
      </w:pPr>
      <w:r>
        <w:t>Методологічний підхід до аналізу .</w:t>
      </w:r>
    </w:p>
    <w:p w:rsidR="007032B8" w:rsidRDefault="00A82BE8">
      <w:pPr>
        <w:pStyle w:val="10"/>
        <w:framePr w:w="9086" w:h="12281" w:hRule="exact" w:wrap="around" w:vAnchor="page" w:hAnchor="page" w:x="1427" w:y="2398"/>
        <w:shd w:val="clear" w:color="auto" w:fill="auto"/>
        <w:spacing w:after="363" w:line="180" w:lineRule="exact"/>
        <w:ind w:right="20"/>
      </w:pPr>
      <w:bookmarkStart w:id="0" w:name="bookmark0"/>
      <w:r>
        <w:t>Олена ТАРАСЕВИЧ, Олена ПЕРЬКОВА</w:t>
      </w:r>
      <w:bookmarkEnd w:id="0"/>
    </w:p>
    <w:p w:rsidR="007032B8" w:rsidRDefault="00A82BE8">
      <w:pPr>
        <w:pStyle w:val="22"/>
        <w:framePr w:w="9086" w:h="12281" w:hRule="exact" w:wrap="around" w:vAnchor="page" w:hAnchor="page" w:x="1427" w:y="2398"/>
        <w:shd w:val="clear" w:color="auto" w:fill="auto"/>
        <w:spacing w:before="0" w:after="462"/>
        <w:ind w:left="1220" w:right="1240"/>
      </w:pPr>
      <w:r>
        <w:t>МЕТОДОЛОГІЧНИЙ ПІДХІД ДО АНАЛІЗУ ВИНИКНЕННЯ ТРАНСАКЦІЙНИХ ВИТРАТ НА РИНКУ ПРАЦІ УКРАЇНИ</w:t>
      </w:r>
    </w:p>
    <w:p w:rsidR="007032B8" w:rsidRDefault="00A82BE8">
      <w:pPr>
        <w:pStyle w:val="30"/>
        <w:framePr w:w="9086" w:h="12281" w:hRule="exact" w:wrap="around" w:vAnchor="page" w:hAnchor="page" w:x="1427" w:y="2398"/>
        <w:shd w:val="clear" w:color="auto" w:fill="auto"/>
        <w:spacing w:before="0"/>
        <w:ind w:left="20" w:right="20" w:firstLine="280"/>
      </w:pPr>
      <w:r>
        <w:t xml:space="preserve">Розглянуто особливості трансакційних витрат на ринку праці та вплив </w:t>
      </w:r>
      <w:r>
        <w:t>інституційного середовища як основного фактора, що визначає їх розмір та умови виникнення під час транс</w:t>
      </w:r>
      <w:r>
        <w:softHyphen/>
        <w:t>формаційних перетворень соціально-економічних відносин в Україні.</w:t>
      </w:r>
    </w:p>
    <w:p w:rsidR="007032B8" w:rsidRDefault="00A82BE8">
      <w:pPr>
        <w:pStyle w:val="30"/>
        <w:framePr w:w="9086" w:h="12281" w:hRule="exact" w:wrap="around" w:vAnchor="page" w:hAnchor="page" w:x="1427" w:y="2398"/>
        <w:shd w:val="clear" w:color="auto" w:fill="auto"/>
        <w:spacing w:before="0"/>
        <w:ind w:left="20" w:right="20" w:firstLine="280"/>
      </w:pPr>
      <w:r>
        <w:rPr>
          <w:lang w:val="en-US" w:eastAsia="en-US" w:bidi="en-US"/>
        </w:rPr>
        <w:t>In the paper, considered are transactional costs at labour market and the influence of</w:t>
      </w:r>
      <w:r>
        <w:rPr>
          <w:lang w:val="en-US" w:eastAsia="en-US" w:bidi="en-US"/>
        </w:rPr>
        <w:t xml:space="preserve"> institutional invironment as a main factor to determine their value and conditions of their emerging in the period of transformational changes of social and economic relations in Ukraine.</w:t>
      </w:r>
    </w:p>
    <w:p w:rsidR="007032B8" w:rsidRDefault="00A82BE8">
      <w:pPr>
        <w:pStyle w:val="a7"/>
        <w:framePr w:w="9086" w:h="12281" w:hRule="exact" w:wrap="around" w:vAnchor="page" w:hAnchor="page" w:x="1427" w:y="2398"/>
        <w:shd w:val="clear" w:color="auto" w:fill="auto"/>
        <w:spacing w:before="0"/>
        <w:ind w:left="20" w:right="20" w:firstLine="280"/>
      </w:pPr>
      <w:r>
        <w:t>В період переходу вітчизняної економічної системи на ринкові засади</w:t>
      </w:r>
      <w:r>
        <w:t xml:space="preserve"> функціонування найбільш суттєві зміни відбулися у сфері соціально-трудових відносин. Особливо суперечливим був процес формування внутрішнього ринку праці, який зазвичай відзеркалює систему економічних механізмів, норм та інститутів щодо відтворення робочо</w:t>
      </w:r>
      <w:r>
        <w:t>ї сили і використання праці. Як відомо, особливості ринку праці впливають на процеси, що відбуваються в межах всієї ринкової системи будь-якої країни, тому формування внутрішнього ринку праці є однією з найскладніших соціально-економічних проблем трансформ</w:t>
      </w:r>
      <w:r>
        <w:t>ації національної економіки.</w:t>
      </w:r>
    </w:p>
    <w:p w:rsidR="007032B8" w:rsidRDefault="00A82BE8">
      <w:pPr>
        <w:pStyle w:val="a7"/>
        <w:framePr w:w="9086" w:h="12281" w:hRule="exact" w:wrap="around" w:vAnchor="page" w:hAnchor="page" w:x="1427" w:y="2398"/>
        <w:shd w:val="clear" w:color="auto" w:fill="auto"/>
        <w:spacing w:before="0"/>
        <w:ind w:left="20" w:right="20" w:firstLine="280"/>
      </w:pPr>
      <w:r>
        <w:t xml:space="preserve">Дослідженням особливостей функціонування ринку праці в той чи інший період економічного розвитку займались такі науковці, як Дж. Кейнс [1], М. Вебер [2], О. Уільямсон [3] та ін. Праці цих дослідників орієнтовані на вивчення </w:t>
      </w:r>
      <w:r>
        <w:t>прояву трансакційних витрат як особливих чинників функціону</w:t>
      </w:r>
      <w:r>
        <w:softHyphen/>
        <w:t>вання ринку праці. В Україні цією проблемою займаються такі дослідники, як Е. Лібанова [4], І. Пет</w:t>
      </w:r>
      <w:r>
        <w:softHyphen/>
        <w:t>рова [5], О. І. Цимбал [6] та ін. Однак недостатньо дослідженою все ще залишається проблема функц</w:t>
      </w:r>
      <w:r>
        <w:t>іонування інститутів вітчизняного ринку праці з позиції теорії трансакційних витрат.</w:t>
      </w:r>
    </w:p>
    <w:p w:rsidR="007032B8" w:rsidRDefault="00A82BE8">
      <w:pPr>
        <w:pStyle w:val="a7"/>
        <w:framePr w:w="9086" w:h="12281" w:hRule="exact" w:wrap="around" w:vAnchor="page" w:hAnchor="page" w:x="1427" w:y="2398"/>
        <w:shd w:val="clear" w:color="auto" w:fill="auto"/>
        <w:spacing w:before="0"/>
        <w:ind w:left="20" w:right="20" w:firstLine="280"/>
      </w:pPr>
      <w:r>
        <w:t>В сучасних умовах актуалізація дослідження теоретичних і прикладних аспектів функціонування ринку праці обумовлена такими основними обставинами: наукові і прикладні уявлен</w:t>
      </w:r>
      <w:r>
        <w:t>ня про економічну роль людини змінюються під час становлення та функціонування економіки ринкового типу; перехід до ринкових умов господарювання докорінно змінює зміст та систему соціально-трудових відносин; становлення ринкових умов господарювання не вирі</w:t>
      </w:r>
      <w:r>
        <w:t xml:space="preserve">шує проблем, накопичених у соціально-трудових відносинах доринкового етапу розвитку вітчизняної економіки; входження України у світовий ринок праці передбачає організацію соціально-трудових відносин відповідно до міжнародних норм, що зумовлює необхідність </w:t>
      </w:r>
      <w:r>
        <w:t>дослідження вітчизняного і зарубіжного досвіду регулювання соціально- трудових відносин.</w:t>
      </w:r>
    </w:p>
    <w:p w:rsidR="007032B8" w:rsidRDefault="00A82BE8">
      <w:pPr>
        <w:pStyle w:val="a7"/>
        <w:framePr w:w="9086" w:h="12281" w:hRule="exact" w:wrap="around" w:vAnchor="page" w:hAnchor="page" w:x="1427" w:y="2398"/>
        <w:shd w:val="clear" w:color="auto" w:fill="auto"/>
        <w:spacing w:before="0"/>
        <w:ind w:left="20" w:right="20" w:firstLine="280"/>
      </w:pPr>
      <w:r>
        <w:t>Метою статті є теоретичний аналіз умов виникнення трансакційних витрат на ринку праці України, вплив яких на соціально-трудові відносини загострюється під час соціальн</w:t>
      </w:r>
      <w:r>
        <w:t>о-економічних та інститу- ційних перетворень.</w:t>
      </w:r>
    </w:p>
    <w:p w:rsidR="007032B8" w:rsidRDefault="00A82BE8">
      <w:pPr>
        <w:pStyle w:val="a7"/>
        <w:framePr w:w="9086" w:h="12281" w:hRule="exact" w:wrap="around" w:vAnchor="page" w:hAnchor="page" w:x="1427" w:y="2398"/>
        <w:shd w:val="clear" w:color="auto" w:fill="auto"/>
        <w:spacing w:before="0"/>
        <w:ind w:left="20" w:right="20" w:firstLine="280"/>
      </w:pPr>
      <w:r>
        <w:t>Як відомо, в загальному значенні трансакційні витрати - це витрати, якими супроводжується здійснення «трансакцій». О. Уільямсон та К. Менар К. конкретизують поняття трансакції у фізико- технічному аспекті як «а</w:t>
      </w:r>
      <w:r>
        <w:t>кт перетину» товаром чи послугою границі суміжних технологічних процесів (стадій виробництва, обміну чи використання). Дж. Коммонс визначає трансакційні витрати як додат</w:t>
      </w:r>
      <w:r>
        <w:softHyphen/>
        <w:t xml:space="preserve">кові витрати, пов’язані з процесом відчуження і отримання прав власності. М. Міллерта </w:t>
      </w:r>
      <w:r>
        <w:t>Дж. Стиглер визначають трансакційні витрати як такі, що супроводжують акт обміну інформацією. М. Вебер характеризує трансакційні витрати яктакі, що спрямовані на встановлення та підтримання соціальних відносин певного типу. В межах ринку праці трансакційні</w:t>
      </w:r>
      <w:r>
        <w:t xml:space="preserve"> витрати можна визначити як витрати зв’язку між економічними суб’єктами, які не належать до витрат технологічного процесу.</w:t>
      </w:r>
    </w:p>
    <w:p w:rsidR="007032B8" w:rsidRDefault="00A82BE8">
      <w:pPr>
        <w:pStyle w:val="40"/>
        <w:framePr w:wrap="around" w:vAnchor="page" w:hAnchor="page" w:x="1427" w:y="14984"/>
        <w:shd w:val="clear" w:color="auto" w:fill="auto"/>
        <w:spacing w:before="0" w:line="140" w:lineRule="exact"/>
        <w:ind w:left="20"/>
      </w:pPr>
      <w:r>
        <w:t>© Олена Тарасевич, Олена Перькова, 2013.</w:t>
      </w:r>
    </w:p>
    <w:p w:rsidR="007032B8" w:rsidRDefault="00A82BE8">
      <w:pPr>
        <w:pStyle w:val="a5"/>
        <w:framePr w:wrap="around" w:vAnchor="page" w:hAnchor="page" w:x="1398" w:y="15554"/>
        <w:shd w:val="clear" w:color="auto" w:fill="auto"/>
        <w:spacing w:before="0" w:line="170" w:lineRule="exact"/>
        <w:ind w:left="20"/>
      </w:pPr>
      <w:r>
        <w:t>188</w:t>
      </w:r>
    </w:p>
    <w:p w:rsidR="007032B8" w:rsidRDefault="00A82BE8">
      <w:pPr>
        <w:pStyle w:val="32"/>
        <w:framePr w:wrap="around" w:vAnchor="page" w:hAnchor="page" w:x="8319" w:y="15560"/>
        <w:shd w:val="clear" w:color="auto" w:fill="auto"/>
        <w:spacing w:line="130" w:lineRule="exact"/>
        <w:ind w:left="20"/>
      </w:pPr>
      <w:r>
        <w:t>Наука молода № 19, 2013 р.</w:t>
      </w:r>
    </w:p>
    <w:p w:rsidR="007032B8" w:rsidRDefault="007032B8">
      <w:pPr>
        <w:rPr>
          <w:sz w:val="2"/>
          <w:szCs w:val="2"/>
        </w:rPr>
        <w:sectPr w:rsidR="007032B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032B8" w:rsidRDefault="00A82BE8">
      <w:pPr>
        <w:pStyle w:val="a5"/>
        <w:framePr w:wrap="around" w:vAnchor="page" w:hAnchor="page" w:x="5437" w:y="1280"/>
        <w:shd w:val="clear" w:color="auto" w:fill="auto"/>
        <w:spacing w:before="0" w:line="170" w:lineRule="exact"/>
        <w:ind w:left="20"/>
      </w:pPr>
      <w:r>
        <w:lastRenderedPageBreak/>
        <w:t xml:space="preserve">Інституційне забезпечення економічного </w:t>
      </w:r>
      <w:r>
        <w:t>зростання</w:t>
      </w:r>
    </w:p>
    <w:p w:rsidR="007032B8" w:rsidRDefault="00A82BE8">
      <w:pPr>
        <w:pStyle w:val="a7"/>
        <w:framePr w:w="9082" w:h="13311" w:hRule="exact" w:wrap="around" w:vAnchor="page" w:hAnchor="page" w:x="1419" w:y="1714"/>
        <w:shd w:val="clear" w:color="auto" w:fill="auto"/>
        <w:spacing w:before="0"/>
        <w:ind w:left="20" w:right="20" w:firstLine="280"/>
      </w:pPr>
      <w:r>
        <w:t xml:space="preserve">У моделях досконалої конкуренції трансакційні витрати є нульовими, тому, відповідно до першої теореми Р. Коуза, початковий розподіл прав власності абсолютно не впливає на структуру виробництва, оскільки кожна з правомочностей належить власнику, </w:t>
      </w:r>
      <w:r>
        <w:t>здатному запропонувати за неї найвищу ціну, виходячи з можливості ефективного використання даної правомочності. За наявності позитивних трансакційних витратумови обміну докорінно змінюються. Відповідно до другої теореми Р. Коуза, початкове розмежування зак</w:t>
      </w:r>
      <w:r>
        <w:t>онних прав власності впливає на ефективність дії економічної системи, при чому набувають значення інститути та альтернативні ринку способи організації трансакцій.</w:t>
      </w:r>
    </w:p>
    <w:p w:rsidR="007032B8" w:rsidRDefault="00A82BE8">
      <w:pPr>
        <w:pStyle w:val="a7"/>
        <w:framePr w:w="9082" w:h="13311" w:hRule="exact" w:wrap="around" w:vAnchor="page" w:hAnchor="page" w:x="1419" w:y="1714"/>
        <w:shd w:val="clear" w:color="auto" w:fill="auto"/>
        <w:spacing w:before="0"/>
        <w:ind w:left="20" w:right="20" w:firstLine="280"/>
      </w:pPr>
      <w:r>
        <w:t>На ринку праці активом, відносно якого укладаються контракти, є робоча сила. Тому трансакційн</w:t>
      </w:r>
      <w:r>
        <w:t>і витрати обігу робочої сили можна трактувати як частку трансакційних витрат, що супроводжують функціонування інституційної структури працевлаштування і адаптації на робочому місці. О. І. Цимбал виокремлює такі складові елементи трансакційних витрат праців</w:t>
      </w:r>
      <w:r>
        <w:t>ників на вітчизняному ринку праці: витрати на пошук інформації про робоче місце; витрати на контакти з різними роботодавцями; витрати на ведення переговорів щодо умов зайнятості; витрати на співбесіду та тестування, оформлення документів; витрати на випроб</w:t>
      </w:r>
      <w:r>
        <w:t>увальний термін на робочому місці; витрати на опанування знаннями та навичками, які необхідні для досягнення нормальної на даному робочому місці продуктивності праці; витрати, пов’язані з оволодінням специфічними для цього робочого місця знаннями та навичк</w:t>
      </w:r>
      <w:r>
        <w:t>ами, які точно не знадобляться на іншому робочому місці.</w:t>
      </w:r>
    </w:p>
    <w:p w:rsidR="007032B8" w:rsidRDefault="00A82BE8">
      <w:pPr>
        <w:pStyle w:val="a7"/>
        <w:framePr w:w="9082" w:h="13311" w:hRule="exact" w:wrap="around" w:vAnchor="page" w:hAnchor="page" w:x="1419" w:y="1714"/>
        <w:shd w:val="clear" w:color="auto" w:fill="auto"/>
        <w:spacing w:before="0"/>
        <w:ind w:left="20" w:right="20" w:firstLine="280"/>
      </w:pPr>
      <w:r>
        <w:t>Перелічені витрати спрямовані на набуття робітником специфічної системи знань і навичок, що відповідно до положень трансакційноїтеорії О. Уільямсона стає фактором прив’язування людини до робочого міс</w:t>
      </w:r>
      <w:r>
        <w:t>ця і зменшення переговорної активності в подальших стосункахз роботодавцем. Але на ринку праці трансакційні витрати мають не лише працівники, а й роботодавці. За етапами укладення угоди О. Уільямсон розрізняє два види трансакційних витрат: по-перше, витрат</w:t>
      </w:r>
      <w:r>
        <w:t xml:space="preserve">и, що виникають до укладання угоди - </w:t>
      </w:r>
      <w:r>
        <w:rPr>
          <w:lang w:val="en-US" w:eastAsia="en-US" w:bidi="en-US"/>
        </w:rPr>
        <w:t xml:space="preserve">«ex ante», </w:t>
      </w:r>
      <w:r>
        <w:t>по-друге, витрати, що виникають після укладаня угоди про найм робіт</w:t>
      </w:r>
      <w:r>
        <w:softHyphen/>
        <w:t xml:space="preserve">ника - це витрати </w:t>
      </w:r>
      <w:r>
        <w:rPr>
          <w:lang w:val="en-US" w:eastAsia="en-US" w:bidi="en-US"/>
        </w:rPr>
        <w:t>«ex post».</w:t>
      </w:r>
    </w:p>
    <w:p w:rsidR="007032B8" w:rsidRDefault="00A82BE8">
      <w:pPr>
        <w:pStyle w:val="a7"/>
        <w:framePr w:w="9082" w:h="13311" w:hRule="exact" w:wrap="around" w:vAnchor="page" w:hAnchor="page" w:x="1419" w:y="1714"/>
        <w:shd w:val="clear" w:color="auto" w:fill="auto"/>
        <w:spacing w:before="0"/>
        <w:ind w:left="20" w:right="20" w:firstLine="280"/>
      </w:pPr>
      <w:r>
        <w:t xml:space="preserve">Трансакційні витрати найму працівника </w:t>
      </w:r>
      <w:r>
        <w:rPr>
          <w:lang w:val="en-US" w:eastAsia="en-US" w:bidi="en-US"/>
        </w:rPr>
        <w:t xml:space="preserve">«ex ante» </w:t>
      </w:r>
      <w:r>
        <w:t>здійснюються на ринку праці й супроводжують підготовку та уклад</w:t>
      </w:r>
      <w:r>
        <w:t>ення контракту про найм працівника. До них належать витрати щодо одержання інформації про ринок праці. Ці витрати мають місце як з боку працівника при пошуку альтернативних роботодавців, так і з боку роботодавця при пошуку якісної, кваліфікованої робочої с</w:t>
      </w:r>
      <w:r>
        <w:t>или. їх розмір обумовлений асиметрією інформації, яка виражається через перебільшення працівником якості власних трудових послуг і приховування інформації та більшу проінформованість роботодавця про економічний стан підприємства і особливості вакантних міс</w:t>
      </w:r>
      <w:r>
        <w:t xml:space="preserve">ць. Такождо трансакційних витрат </w:t>
      </w:r>
      <w:r>
        <w:rPr>
          <w:lang w:val="en-US" w:eastAsia="en-US" w:bidi="en-US"/>
        </w:rPr>
        <w:t xml:space="preserve">«ex ante» </w:t>
      </w:r>
      <w:r>
        <w:t>належать витрати щодо оцінювання компетентності працівників та якості їхніх трудових послуг, що обумовлені неможливістю оцінити професійні якості працівника повною мірою на момент укла</w:t>
      </w:r>
      <w:r>
        <w:softHyphen/>
        <w:t>дання контракту. Тому для зм</w:t>
      </w:r>
      <w:r>
        <w:t>еншення рівня невизначеності роботодавці здійснюють додаткові витрати, спрямовані на професійний підбір персоналу. їх особливістю є можливість отримування значної еко</w:t>
      </w:r>
      <w:r>
        <w:softHyphen/>
        <w:t>номії коштів за рахунок вдалого підбору персоналу, яка значно перевищує додаткові витрати</w:t>
      </w:r>
      <w:r>
        <w:t xml:space="preserve"> на аналіз якостей робітника під час укладання контракту. Витрати щодо ведення переговорів і укладення контракту про найм, такожяк і витрати окремих працівників на вхід до привілейованих видів зайнятості, теж є витратами </w:t>
      </w:r>
      <w:r>
        <w:rPr>
          <w:lang w:val="en-US" w:eastAsia="en-US" w:bidi="en-US"/>
        </w:rPr>
        <w:t>«ex ante».</w:t>
      </w:r>
    </w:p>
    <w:p w:rsidR="007032B8" w:rsidRDefault="00A82BE8">
      <w:pPr>
        <w:pStyle w:val="a7"/>
        <w:framePr w:w="9082" w:h="13311" w:hRule="exact" w:wrap="around" w:vAnchor="page" w:hAnchor="page" w:x="1419" w:y="1714"/>
        <w:shd w:val="clear" w:color="auto" w:fill="auto"/>
        <w:spacing w:before="0"/>
        <w:ind w:left="20" w:right="20" w:firstLine="280"/>
      </w:pPr>
      <w:r>
        <w:t>Трансакційні витрати най</w:t>
      </w:r>
      <w:r>
        <w:t xml:space="preserve">му працівників </w:t>
      </w:r>
      <w:r>
        <w:rPr>
          <w:lang w:val="en-US" w:eastAsia="en-US" w:bidi="en-US"/>
        </w:rPr>
        <w:t xml:space="preserve">«ex ante» </w:t>
      </w:r>
      <w:r>
        <w:t xml:space="preserve">за своєю сутністю є переважно зовнішніми, пов’язаними з ринковими трансакціями - координацією і взаємодією суб’єктів трудової угоди на ринку праці. На відміну від них, трансакційні витрати найму працівників </w:t>
      </w:r>
      <w:r>
        <w:rPr>
          <w:lang w:val="en-US" w:eastAsia="en-US" w:bidi="en-US"/>
        </w:rPr>
        <w:t xml:space="preserve">«ex post» </w:t>
      </w:r>
      <w:r>
        <w:t>у більшості ви</w:t>
      </w:r>
      <w:r>
        <w:t>падків є внутрішніми, тому що вони супроводжують управлінські трансакції. Ці витрати спричиняє опорту</w:t>
      </w:r>
      <w:r>
        <w:softHyphen/>
        <w:t>ністична поведінка суб’єктів ринку праці, яка проявляється під час попереднього укладання угоди, коли, усвідомлюючи обмежені інформаційні можливості інших</w:t>
      </w:r>
      <w:r>
        <w:t xml:space="preserve"> людей, власники робочої сили (робітники) або роботодавці, що найняли робітників, намагаються діяти лише з власною вигодою, тобто відхиляються від умов трудового контракту. Якщо зовнішні витрати плануються заздалегідь, то внутрішні витрати виникають у проц</w:t>
      </w:r>
      <w:r>
        <w:t>есі здійснення трудових відносин. їх неможливо передбачити, вони не плануються передчасно ні управлінським персоналом, ні робітником, вони непередбачувані ні з точки зору технологічного процесу виробництва, ні з точки зору функціонування ринку праці. Ці ви</w:t>
      </w:r>
      <w:r>
        <w:t>трати фактично єтрансакційними витратами, що не піддаються страхуванню внаслідок неможливості передбачити факт їх виникнення ні з боку працедавця, ні з боку працівника, що саме і може поставити під загрозу економічну діяльність фірми. Саме це передбачає не</w:t>
      </w:r>
      <w:r>
        <w:t>обхідність аналізу можливості</w:t>
      </w:r>
    </w:p>
    <w:p w:rsidR="007032B8" w:rsidRDefault="00A82BE8">
      <w:pPr>
        <w:pStyle w:val="32"/>
        <w:framePr w:wrap="around" w:vAnchor="page" w:hAnchor="page" w:x="1410" w:y="15560"/>
        <w:shd w:val="clear" w:color="auto" w:fill="auto"/>
        <w:spacing w:line="130" w:lineRule="exact"/>
        <w:ind w:left="20"/>
      </w:pPr>
      <w:r>
        <w:t>Наука молода № 19, 2013 р.</w:t>
      </w:r>
    </w:p>
    <w:p w:rsidR="007032B8" w:rsidRDefault="00A82BE8">
      <w:pPr>
        <w:pStyle w:val="a5"/>
        <w:framePr w:wrap="around" w:vAnchor="page" w:hAnchor="page" w:x="10194" w:y="15583"/>
        <w:shd w:val="clear" w:color="auto" w:fill="auto"/>
        <w:spacing w:before="0" w:line="170" w:lineRule="exact"/>
        <w:ind w:left="20"/>
      </w:pPr>
      <w:r>
        <w:t>189</w:t>
      </w:r>
    </w:p>
    <w:p w:rsidR="007032B8" w:rsidRDefault="007032B8">
      <w:pPr>
        <w:rPr>
          <w:sz w:val="2"/>
          <w:szCs w:val="2"/>
        </w:rPr>
        <w:sectPr w:rsidR="007032B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032B8" w:rsidRDefault="00A82BE8">
      <w:pPr>
        <w:pStyle w:val="20"/>
        <w:framePr w:w="9130" w:h="437" w:hRule="exact" w:wrap="around" w:vAnchor="page" w:hAnchor="page" w:x="1405" w:y="1090"/>
        <w:shd w:val="clear" w:color="auto" w:fill="auto"/>
        <w:spacing w:after="47" w:line="130" w:lineRule="exact"/>
        <w:ind w:left="40"/>
      </w:pPr>
      <w:r>
        <w:lastRenderedPageBreak/>
        <w:t>О. Тарасевич, О. Перькова</w:t>
      </w:r>
    </w:p>
    <w:p w:rsidR="007032B8" w:rsidRDefault="00A82BE8">
      <w:pPr>
        <w:pStyle w:val="a5"/>
        <w:framePr w:w="9130" w:h="437" w:hRule="exact" w:wrap="around" w:vAnchor="page" w:hAnchor="page" w:x="1405" w:y="1090"/>
        <w:shd w:val="clear" w:color="auto" w:fill="auto"/>
        <w:spacing w:before="0" w:line="170" w:lineRule="exact"/>
        <w:ind w:left="40"/>
      </w:pPr>
      <w:r>
        <w:t>Методологічний підхід до аналізу ...</w:t>
      </w:r>
    </w:p>
    <w:p w:rsidR="007032B8" w:rsidRDefault="00A82BE8">
      <w:pPr>
        <w:pStyle w:val="a7"/>
        <w:framePr w:w="9082" w:h="13282" w:hRule="exact" w:wrap="around" w:vAnchor="page" w:hAnchor="page" w:x="1429" w:y="1745"/>
        <w:shd w:val="clear" w:color="auto" w:fill="auto"/>
        <w:spacing w:before="0"/>
        <w:ind w:left="20" w:right="20"/>
      </w:pPr>
      <w:r>
        <w:t xml:space="preserve">виникнення трансакційних витрат і прогнозування їх можливого розміру в тих чи інших умовах під час </w:t>
      </w:r>
      <w:r>
        <w:t>функціонування суб’єктів ринку праці.</w:t>
      </w:r>
    </w:p>
    <w:p w:rsidR="007032B8" w:rsidRDefault="00A82BE8">
      <w:pPr>
        <w:pStyle w:val="a7"/>
        <w:framePr w:w="9082" w:h="13282" w:hRule="exact" w:wrap="around" w:vAnchor="page" w:hAnchor="page" w:x="1429" w:y="1745"/>
        <w:shd w:val="clear" w:color="auto" w:fill="auto"/>
        <w:spacing w:before="0"/>
        <w:ind w:left="20" w:right="20" w:firstLine="280"/>
      </w:pPr>
      <w:r>
        <w:t>Оцінити загальні трансакційні витрати на ринку праці кількісно дуже важко, тому існує три основних підходи до їх вимірювання. Перший передбачає специфікацію трансакційних витрат, джерелом інформації для чого в світовій</w:t>
      </w:r>
      <w:r>
        <w:t xml:space="preserve"> практиці є офіційні дані статистичних, урядових та інших установ щодо стану ринку праці. Другий підхід ґрунтується на розрахунку спреду, що є різницею між ціною, яку можна було б одержати після певного очікування, і ціною, за якою угода може бути укладена</w:t>
      </w:r>
      <w:r>
        <w:t xml:space="preserve"> негайно, якщо учасники ринку не можуть очікувати більш вигідної ціни. Третій підхід спрямований на визначення сукупного обсягу ресурсів, що застосовуються державною службою зайнятості та усіма інформа</w:t>
      </w:r>
      <w:r>
        <w:softHyphen/>
        <w:t>ційними агенціями, які надають послуги з працевлаштува</w:t>
      </w:r>
      <w:r>
        <w:t>ння.</w:t>
      </w:r>
    </w:p>
    <w:p w:rsidR="007032B8" w:rsidRDefault="00A82BE8">
      <w:pPr>
        <w:pStyle w:val="a7"/>
        <w:framePr w:w="9082" w:h="13282" w:hRule="exact" w:wrap="around" w:vAnchor="page" w:hAnchor="page" w:x="1429" w:y="1745"/>
        <w:shd w:val="clear" w:color="auto" w:fill="auto"/>
        <w:spacing w:before="0"/>
        <w:ind w:left="20" w:right="20" w:firstLine="280"/>
      </w:pPr>
      <w:r>
        <w:t>При цьому одним із найвагоміших факторів зниження трансакційних витрат є ефективне функ</w:t>
      </w:r>
      <w:r>
        <w:softHyphen/>
        <w:t xml:space="preserve">ціонування інститутів ринку праці. Структурно інститути ринку праці, що регламентують взаємодію працівників і работодавців у соціально-трудовій сфери, можуть бути </w:t>
      </w:r>
      <w:r>
        <w:t>розподілені на формальні і неформальні. До формальних інститутів ринку праці України може бути зарахований інститут право - вого забезпечення, який формується на базі співпраці органів законодавчої та виконавчої влади з суспільними, організаційними, інформ</w:t>
      </w:r>
      <w:r>
        <w:t>аційними, освітніми та науково-дослідницькими інститутами ринку праці і закріплюється у формі законів та нормативних актів в сфері трудових відносин. Вітчизняна інституційна інфраструктура не сприяє нормальному відтворенню робочої сили і тому є фактором ви</w:t>
      </w:r>
      <w:r>
        <w:t>сокого рівня трансакційних витрат. Неефективність функціонування інституту правового забезпе</w:t>
      </w:r>
      <w:r>
        <w:softHyphen/>
        <w:t>чення в Україні пов’язана з існуванням низки суперечностей, серед яких велике значення має заста</w:t>
      </w:r>
      <w:r>
        <w:softHyphen/>
        <w:t>рілість норм трудового законодавства, відсутність обов’язкової нор</w:t>
      </w:r>
      <w:r>
        <w:t>ми письмової форми трудового договору, відсутність норм трудових відносин громадян, що працюють за кордоном, іноземців та осіб без громадянства, наявність в сучасному трудовому законодавстві значної кількості підзаконних нормативних актів, які суперечать а</w:t>
      </w:r>
      <w:r>
        <w:t>ктам, що вище них за юридичним рівнем. Такождо суперечностей функціонування інституту правового забезпечення ринку праці належить слабка система правоза- стосування та поширення практики неформальних домовленостей, які дозволяють обходити законо</w:t>
      </w:r>
      <w:r>
        <w:softHyphen/>
        <w:t>давчі норм</w:t>
      </w:r>
      <w:r>
        <w:t>и.</w:t>
      </w:r>
    </w:p>
    <w:p w:rsidR="007032B8" w:rsidRDefault="00A82BE8">
      <w:pPr>
        <w:pStyle w:val="a7"/>
        <w:framePr w:w="9082" w:h="13282" w:hRule="exact" w:wrap="around" w:vAnchor="page" w:hAnchor="page" w:x="1429" w:y="1745"/>
        <w:shd w:val="clear" w:color="auto" w:fill="auto"/>
        <w:spacing w:before="0"/>
        <w:ind w:left="20" w:right="20" w:firstLine="280"/>
      </w:pPr>
      <w:r>
        <w:t>На відміну від української моделі правозастосування, для інституту правового забезпечення країн Західної та Східної Європи характерне жорстке законодавство ринку праці та вимоги щодо неухильного його виконання, що суттєво збільшує витрати роботодавців і</w:t>
      </w:r>
      <w:r>
        <w:t xml:space="preserve"> перешкоджає їхнім неправомірним діям, тому ринок праці цих країн не характеризується гнучкістю, що є однією з причин високого рівня хронічного безробіття. Ринок праці таких країн, як США, Великобританія, Канада, Австралія, Нова Зеландія регулюється віднос</w:t>
      </w:r>
      <w:r>
        <w:t>но ліберальним законодавством, але закони виконуються неухильно. Інша модель правозастосування є характерною для країн Латинської Америки - трудове законодавство жорстке, але розповсюджується на відносно невеликий формальний сектор, у межах якого закони зн</w:t>
      </w:r>
      <w:r>
        <w:t>ачною мірою виконуються.</w:t>
      </w:r>
    </w:p>
    <w:p w:rsidR="007032B8" w:rsidRDefault="00A82BE8">
      <w:pPr>
        <w:pStyle w:val="a7"/>
        <w:framePr w:w="9082" w:h="13282" w:hRule="exact" w:wrap="around" w:vAnchor="page" w:hAnchor="page" w:x="1429" w:y="1745"/>
        <w:shd w:val="clear" w:color="auto" w:fill="auto"/>
        <w:spacing w:before="0"/>
        <w:ind w:left="20" w:right="20" w:firstLine="280"/>
      </w:pPr>
      <w:r>
        <w:t>Не менш значущу роль в інституціональному середовищі ринку праці відіграють інститути посе</w:t>
      </w:r>
      <w:r>
        <w:softHyphen/>
        <w:t>редництва та інформаційної підтримки контрагентів ринку праці. Вони охоплюють центри зайнятості, служби працевлаштування та інформатизації н</w:t>
      </w:r>
      <w:r>
        <w:t>аселення, приватні та державні кадрові агентства тощо. Діяльність цих організацій в сфері працевлаштування передбачає роботи зі складання переліків вакантних посад, надання довідкової інформації або призначення кандидатів на заміщення вакантних посад, підб</w:t>
      </w:r>
      <w:r>
        <w:t>ір працівників на певні проміжки часу для підтримки робочих ресурсів підприємств та інші роботи із забезпечення людськими ресурсами.</w:t>
      </w:r>
    </w:p>
    <w:p w:rsidR="007032B8" w:rsidRDefault="00A82BE8">
      <w:pPr>
        <w:pStyle w:val="a7"/>
        <w:framePr w:w="9082" w:h="13282" w:hRule="exact" w:wrap="around" w:vAnchor="page" w:hAnchor="page" w:x="1429" w:y="1745"/>
        <w:shd w:val="clear" w:color="auto" w:fill="auto"/>
        <w:spacing w:before="0"/>
        <w:ind w:left="20" w:right="20" w:firstLine="280"/>
      </w:pPr>
      <w:r>
        <w:t>Ефективність функціонування інституту інформаційної підтримки контрагентів ринку праці значною мірою залежить від інтенсивн</w:t>
      </w:r>
      <w:r>
        <w:t>ості інформаційного обміну, повноти, своєчасності та достовірності інформаційного ресурсу, який формується за статистичними даними, даними соціального моніторингу та експертними оцінками щодо ситуації та перспектив зайнятості.</w:t>
      </w:r>
    </w:p>
    <w:p w:rsidR="007032B8" w:rsidRDefault="00A82BE8">
      <w:pPr>
        <w:pStyle w:val="a7"/>
        <w:framePr w:w="9082" w:h="13282" w:hRule="exact" w:wrap="around" w:vAnchor="page" w:hAnchor="page" w:x="1429" w:y="1745"/>
        <w:shd w:val="clear" w:color="auto" w:fill="auto"/>
        <w:spacing w:before="0"/>
        <w:ind w:left="20" w:right="20" w:firstLine="280"/>
      </w:pPr>
      <w:r>
        <w:t>Загалом ситуація на українськ</w:t>
      </w:r>
      <w:r>
        <w:t>ому ринку праці характеризується як інституціонально неврівно- важена, що виявляється у відсутності дійових інститутів, які б могли створити умови для забезпечення ринкової рівноваги. Однією з головних інституціональних перепон є інерційність зайнятості, я</w:t>
      </w:r>
      <w:r>
        <w:t>ка має прояв у невідповідності динаміки зайнятості динаміці виробництва. На проблеми пристосування ринку праці до змін у попиті на працю впливають високі витрати обігу робочої сили, які пов’язані з наймом та звільненням працівників і знижують гнучкість інс</w:t>
      </w:r>
      <w:r>
        <w:t>титутів ринку праці. Так, у випадку звільнення робітника</w:t>
      </w:r>
    </w:p>
    <w:p w:rsidR="007032B8" w:rsidRDefault="00A82BE8">
      <w:pPr>
        <w:pStyle w:val="a5"/>
        <w:framePr w:wrap="around" w:vAnchor="page" w:hAnchor="page" w:x="1400" w:y="15561"/>
        <w:shd w:val="clear" w:color="auto" w:fill="auto"/>
        <w:spacing w:before="0" w:line="170" w:lineRule="exact"/>
        <w:ind w:left="20"/>
      </w:pPr>
      <w:r>
        <w:t>190</w:t>
      </w:r>
    </w:p>
    <w:p w:rsidR="007032B8" w:rsidRDefault="00A82BE8">
      <w:pPr>
        <w:pStyle w:val="32"/>
        <w:framePr w:wrap="around" w:vAnchor="page" w:hAnchor="page" w:x="8322" w:y="15567"/>
        <w:shd w:val="clear" w:color="auto" w:fill="auto"/>
        <w:spacing w:line="130" w:lineRule="exact"/>
        <w:ind w:left="20"/>
      </w:pPr>
      <w:r>
        <w:t>Наука молода № 19, 2013 р.</w:t>
      </w:r>
    </w:p>
    <w:p w:rsidR="007032B8" w:rsidRDefault="007032B8">
      <w:pPr>
        <w:rPr>
          <w:sz w:val="2"/>
          <w:szCs w:val="2"/>
        </w:rPr>
        <w:sectPr w:rsidR="007032B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032B8" w:rsidRDefault="00A82BE8">
      <w:pPr>
        <w:pStyle w:val="a5"/>
        <w:framePr w:wrap="around" w:vAnchor="page" w:hAnchor="page" w:x="5418" w:y="1275"/>
        <w:shd w:val="clear" w:color="auto" w:fill="auto"/>
        <w:spacing w:before="0" w:line="170" w:lineRule="exact"/>
        <w:ind w:left="20"/>
      </w:pPr>
      <w:r>
        <w:lastRenderedPageBreak/>
        <w:t>Інституційне забезпечення економічного зростання</w:t>
      </w:r>
    </w:p>
    <w:p w:rsidR="007032B8" w:rsidRDefault="00A82BE8">
      <w:pPr>
        <w:pStyle w:val="a7"/>
        <w:framePr w:w="9110" w:h="13095" w:hRule="exact" w:wrap="around" w:vAnchor="page" w:hAnchor="page" w:x="1415" w:y="1690"/>
        <w:shd w:val="clear" w:color="auto" w:fill="auto"/>
        <w:spacing w:before="0"/>
        <w:ind w:left="20" w:right="20"/>
      </w:pPr>
      <w:r>
        <w:t xml:space="preserve">за скороченням штатів роботодавець має сплачувати вихідну допомогу, розмір якої коливається від </w:t>
      </w:r>
      <w:r>
        <w:t>одного до трьох місячних заробітків. Негрошові витрати також високі: про звільнення роботодавець повинен попередити робітника не менше, ніжза 2 місяці, спрямувати інформацію в державні органи зайнятості, у разі масових звільнень попередити профспілки.</w:t>
      </w:r>
    </w:p>
    <w:p w:rsidR="007032B8" w:rsidRDefault="00A82BE8">
      <w:pPr>
        <w:pStyle w:val="a7"/>
        <w:framePr w:w="9110" w:h="13095" w:hRule="exact" w:wrap="around" w:vAnchor="page" w:hAnchor="page" w:x="1415" w:y="1690"/>
        <w:shd w:val="clear" w:color="auto" w:fill="auto"/>
        <w:spacing w:before="0"/>
        <w:ind w:left="20" w:right="40" w:firstLine="300"/>
      </w:pPr>
      <w:r>
        <w:t>Також сприяє зростанню трансакційних витрат на вітчизняному ринку праці недосконалість інституціонального механізму формування заробітної плати. Одним із проявів цього є надмірно висока еластичність заробітної плати замість високої еластичності зайнятості.</w:t>
      </w:r>
      <w:r>
        <w:t xml:space="preserve"> Згідно з доповіддю Міжнародної організації праці «Заробітна плата в світі 2008-2009», за період із 1995-2007 </w:t>
      </w:r>
      <w:r>
        <w:rPr>
          <w:lang w:val="en-US" w:eastAsia="en-US" w:bidi="en-US"/>
        </w:rPr>
        <w:t xml:space="preserve">pp. </w:t>
      </w:r>
      <w:r>
        <w:t>загалом у світовому процесі під час зростання ВВП на душу населення на 1% середня заробітна плата збільшується лише 0,75%. В Україні темпи зро</w:t>
      </w:r>
      <w:r>
        <w:t xml:space="preserve">стання реальної заробітної плати випереджають темпи зростання ВВП та зайнятості. За 2000-2007 </w:t>
      </w:r>
      <w:r>
        <w:rPr>
          <w:lang w:val="en-US" w:eastAsia="en-US" w:bidi="en-US"/>
        </w:rPr>
        <w:t xml:space="preserve">pp. </w:t>
      </w:r>
      <w:r>
        <w:t>середньорічні темпи приросту реальної заробітної плати становили 19,2%, а темпи приросту ВВП - лише 7,2%, згодом змінились темпи зростання, проте тенденція за</w:t>
      </w:r>
      <w:r>
        <w:t>лишилась - від 2008 р. темпи проросту реальної заробітної плати становлять близько 6,3%, а ВВП - не більше 2,1%. Висока еластичність заробітної плати пов’язана зі специфікою її структури.</w:t>
      </w:r>
    </w:p>
    <w:p w:rsidR="007032B8" w:rsidRDefault="00A82BE8">
      <w:pPr>
        <w:pStyle w:val="a7"/>
        <w:framePr w:w="9110" w:h="13095" w:hRule="exact" w:wrap="around" w:vAnchor="page" w:hAnchor="page" w:x="1415" w:y="1690"/>
        <w:shd w:val="clear" w:color="auto" w:fill="auto"/>
        <w:spacing w:before="0"/>
        <w:ind w:left="20" w:right="40" w:firstLine="300"/>
      </w:pPr>
      <w:r>
        <w:t>Поділ заробітної плати на постійну та змінну є типовим для виробничи</w:t>
      </w:r>
      <w:r>
        <w:t>х підприємств, комерційних організацій, а також бюджетних установ. Структура заробітної плати на вітчизняному ринку праці вирізняється високою частиною змінної частки. Скорочення змінноїчастки дає роботодавцю простір для гнучкості витрат на працю, що залиш</w:t>
      </w:r>
      <w:r>
        <w:t>ає робітника сам-на-сам з проблемою недоотримання передбаченого у трудовій угоді рівня заробітної плати. Крім того, характерною рисою сучасного ринку праці України є інституціональна прив’язка фіксованої частки заробітної плати до мінімального рівня оплати</w:t>
      </w:r>
      <w:r>
        <w:t xml:space="preserve"> праці. Як відомо, природним інструментом підтримки нижнього порогу заробітної плати є її законодавчо встановлений мінімум. Проте орієнтир на оплату праці з урахуванням законодавчо встановленого мінімуму здійснюється в умовах повної закритості внутріфірмов</w:t>
      </w:r>
      <w:r>
        <w:t>ого процесу нарахування заробітної плати, що зменшує можливості робітників контролювати рівень своїх доходів. Також ця внутрішньофірмова інформаційна асиметрія доповнюється сьогодні відсутністю інституційної системи інформації про ціни на ринку праці, коли</w:t>
      </w:r>
      <w:r>
        <w:t xml:space="preserve"> інформація залишається «приватною» справою окремих компаній і не оприлюднюється. Це призводить до прояву як внутрішньої, так і зовнішньої інформаційної асиметрії в сфері оплати праці, що є підґрунтям до збільшення трансакційних витрат виду </w:t>
      </w:r>
      <w:r>
        <w:rPr>
          <w:lang w:val="en-US" w:eastAsia="en-US" w:bidi="en-US"/>
        </w:rPr>
        <w:t xml:space="preserve">«ex post», </w:t>
      </w:r>
      <w:r>
        <w:t xml:space="preserve">які </w:t>
      </w:r>
      <w:r>
        <w:t>проявляються у втраті робітником очікуваного рівня заробітної плати.</w:t>
      </w:r>
    </w:p>
    <w:p w:rsidR="007032B8" w:rsidRDefault="00A82BE8">
      <w:pPr>
        <w:pStyle w:val="a7"/>
        <w:framePr w:w="9110" w:h="13095" w:hRule="exact" w:wrap="around" w:vAnchor="page" w:hAnchor="page" w:x="1415" w:y="1690"/>
        <w:shd w:val="clear" w:color="auto" w:fill="auto"/>
        <w:spacing w:before="0" w:after="176"/>
        <w:ind w:left="20" w:right="40" w:firstLine="300"/>
      </w:pPr>
      <w:r>
        <w:t xml:space="preserve">Отже, можна зробити висновок, що більшість трансакційних витрат на ринку праці України належать до групи </w:t>
      </w:r>
      <w:r>
        <w:rPr>
          <w:lang w:val="en-US" w:eastAsia="en-US" w:bidi="en-US"/>
        </w:rPr>
        <w:t xml:space="preserve">«ex ante» </w:t>
      </w:r>
      <w:r>
        <w:t>й обумовлені здебільшого інформаційною асиметрією, причиною якої є недос</w:t>
      </w:r>
      <w:r>
        <w:t>ко</w:t>
      </w:r>
      <w:r>
        <w:softHyphen/>
        <w:t xml:space="preserve">нале інституційне середовище вітчизняного ринку праці. Проблеми функціонування інституційних складових на ринку праці України вказують на недосконалість засобів державного регулювання цієї сфери економіки і необхідність приведення існуючої законодавчої </w:t>
      </w:r>
      <w:r>
        <w:t>бази у відповідність до ринкових умов господарювання та сучасних тенденцій розвитку ринку праці.</w:t>
      </w:r>
    </w:p>
    <w:p w:rsidR="007032B8" w:rsidRDefault="00A82BE8">
      <w:pPr>
        <w:pStyle w:val="50"/>
        <w:framePr w:w="9110" w:h="13095" w:hRule="exact" w:wrap="around" w:vAnchor="page" w:hAnchor="page" w:x="1415" w:y="1690"/>
        <w:shd w:val="clear" w:color="auto" w:fill="auto"/>
        <w:spacing w:before="0" w:after="28" w:line="180" w:lineRule="exact"/>
        <w:ind w:left="40"/>
      </w:pPr>
      <w:r>
        <w:t>Література</w:t>
      </w:r>
    </w:p>
    <w:p w:rsidR="007032B8" w:rsidRDefault="00A82BE8">
      <w:pPr>
        <w:pStyle w:val="30"/>
        <w:framePr w:w="9110" w:h="13095" w:hRule="exact" w:wrap="around" w:vAnchor="page" w:hAnchor="page" w:x="1415" w:y="1690"/>
        <w:numPr>
          <w:ilvl w:val="0"/>
          <w:numId w:val="1"/>
        </w:numPr>
        <w:shd w:val="clear" w:color="auto" w:fill="auto"/>
        <w:spacing w:before="0" w:after="0"/>
        <w:ind w:left="720" w:right="40"/>
      </w:pPr>
      <w:r>
        <w:t xml:space="preserve"> КейнсДж. М. Общая теория занятости, процента и денег /Дж. М. Кейнс ; [пер. з англ.]. - М.: Прогресе, 1978. - 367 с.</w:t>
      </w:r>
    </w:p>
    <w:p w:rsidR="007032B8" w:rsidRDefault="00A82BE8">
      <w:pPr>
        <w:pStyle w:val="30"/>
        <w:framePr w:w="9110" w:h="13095" w:hRule="exact" w:wrap="around" w:vAnchor="page" w:hAnchor="page" w:x="1415" w:y="1690"/>
        <w:numPr>
          <w:ilvl w:val="0"/>
          <w:numId w:val="1"/>
        </w:numPr>
        <w:shd w:val="clear" w:color="auto" w:fill="auto"/>
        <w:spacing w:before="0" w:after="0"/>
        <w:ind w:left="720" w:right="40"/>
      </w:pPr>
      <w:r>
        <w:t xml:space="preserve"> Вебер М. Основньїе социологиче</w:t>
      </w:r>
      <w:r>
        <w:t xml:space="preserve">ские понятия [Електронний ресурс]/М. Вебер//Избранньїе произведения: пер. с нем. - М.: Прогресе, 1990. - 808 с. - Режим доступу: </w:t>
      </w:r>
      <w:r>
        <w:rPr>
          <w:lang w:val="en-US" w:eastAsia="en-US" w:bidi="en-US"/>
        </w:rPr>
        <w:t>http://filosof.historic. ru/books/item/f00/s00/z0000303/-index.shtml.</w:t>
      </w:r>
    </w:p>
    <w:p w:rsidR="007032B8" w:rsidRDefault="00A82BE8">
      <w:pPr>
        <w:pStyle w:val="30"/>
        <w:framePr w:w="9110" w:h="13095" w:hRule="exact" w:wrap="around" w:vAnchor="page" w:hAnchor="page" w:x="1415" w:y="1690"/>
        <w:numPr>
          <w:ilvl w:val="0"/>
          <w:numId w:val="1"/>
        </w:numPr>
        <w:shd w:val="clear" w:color="auto" w:fill="auto"/>
        <w:spacing w:before="0" w:after="0"/>
        <w:ind w:left="720" w:right="40"/>
      </w:pPr>
      <w:r>
        <w:t xml:space="preserve"> Уильямсон О. Зкономические институтьі капитализма: фирмь</w:t>
      </w:r>
      <w:r>
        <w:t xml:space="preserve">і, рьінки, «отношенческая» контрактация/О. Уильямсон. - СПб.: Лениздат; </w:t>
      </w:r>
      <w:r>
        <w:rPr>
          <w:lang w:val="en-US" w:eastAsia="en-US" w:bidi="en-US"/>
        </w:rPr>
        <w:t xml:space="preserve">CEVPRESS, </w:t>
      </w:r>
      <w:r>
        <w:t>1996. - 702 с.</w:t>
      </w:r>
    </w:p>
    <w:p w:rsidR="007032B8" w:rsidRDefault="00A82BE8">
      <w:pPr>
        <w:pStyle w:val="30"/>
        <w:framePr w:w="9110" w:h="13095" w:hRule="exact" w:wrap="around" w:vAnchor="page" w:hAnchor="page" w:x="1415" w:y="1690"/>
        <w:numPr>
          <w:ilvl w:val="0"/>
          <w:numId w:val="1"/>
        </w:numPr>
        <w:shd w:val="clear" w:color="auto" w:fill="auto"/>
        <w:spacing w:before="0" w:after="0"/>
        <w:ind w:left="720" w:right="40"/>
      </w:pPr>
      <w:r>
        <w:t xml:space="preserve"> Лібанова Е. Ринок праці та соціальний захист : навч. посіб. / Е. Лібанова, О. Палій - К. : Основи, 2003. - 491 с.</w:t>
      </w:r>
    </w:p>
    <w:p w:rsidR="007032B8" w:rsidRDefault="00A82BE8">
      <w:pPr>
        <w:pStyle w:val="30"/>
        <w:framePr w:w="9110" w:h="13095" w:hRule="exact" w:wrap="around" w:vAnchor="page" w:hAnchor="page" w:x="1415" w:y="1690"/>
        <w:numPr>
          <w:ilvl w:val="0"/>
          <w:numId w:val="1"/>
        </w:numPr>
        <w:shd w:val="clear" w:color="auto" w:fill="auto"/>
        <w:spacing w:before="0" w:after="0"/>
        <w:ind w:left="720" w:right="40"/>
      </w:pPr>
      <w:r>
        <w:t xml:space="preserve"> Петрова І. Л. Сегментація ринку праці: теорія і практика регулювання /1. Л. Петрова. - К. : Таксон, 2007. - 246 с.</w:t>
      </w:r>
    </w:p>
    <w:p w:rsidR="007032B8" w:rsidRDefault="00A82BE8">
      <w:pPr>
        <w:pStyle w:val="30"/>
        <w:framePr w:w="9110" w:h="13095" w:hRule="exact" w:wrap="around" w:vAnchor="page" w:hAnchor="page" w:x="1415" w:y="1690"/>
        <w:numPr>
          <w:ilvl w:val="0"/>
          <w:numId w:val="1"/>
        </w:numPr>
        <w:shd w:val="clear" w:color="auto" w:fill="auto"/>
        <w:spacing w:before="0" w:after="0"/>
        <w:ind w:left="720" w:right="40"/>
      </w:pPr>
      <w:r>
        <w:t xml:space="preserve"> Цимбал О. І. Трансакційні витрати обігу робочої сили на ринку праці України / О. І. Цимбал // Демографія та соціальна економіка. - 2009. - </w:t>
      </w:r>
      <w:r>
        <w:t>№ 2. - С. 68-77.</w:t>
      </w:r>
    </w:p>
    <w:p w:rsidR="007032B8" w:rsidRDefault="00A82BE8">
      <w:pPr>
        <w:pStyle w:val="30"/>
        <w:framePr w:w="9110" w:h="13095" w:hRule="exact" w:wrap="around" w:vAnchor="page" w:hAnchor="page" w:x="1415" w:y="1690"/>
        <w:numPr>
          <w:ilvl w:val="0"/>
          <w:numId w:val="1"/>
        </w:numPr>
        <w:shd w:val="clear" w:color="auto" w:fill="auto"/>
        <w:spacing w:before="0" w:after="0"/>
        <w:ind w:left="720" w:right="40"/>
      </w:pPr>
      <w:r>
        <w:t xml:space="preserve"> </w:t>
      </w:r>
      <w:r>
        <w:rPr>
          <w:lang w:val="en-US" w:eastAsia="en-US" w:bidi="en-US"/>
        </w:rPr>
        <w:t xml:space="preserve">Balancing Protection and Opportunity: A Strategy for Social Protection Approach. World Bank, May 2000 </w:t>
      </w:r>
      <w:r>
        <w:t xml:space="preserve">[Електронний ресурс]. </w:t>
      </w:r>
      <w:r>
        <w:rPr>
          <w:lang w:val="en-US" w:eastAsia="en-US" w:bidi="en-US"/>
        </w:rPr>
        <w:t xml:space="preserve">- </w:t>
      </w:r>
      <w:r>
        <w:t xml:space="preserve">Режим доступу: </w:t>
      </w:r>
      <w:hyperlink r:id="rId7" w:history="1">
        <w:r>
          <w:rPr>
            <w:rStyle w:val="a3"/>
            <w:lang w:val="en-US" w:eastAsia="en-US" w:bidi="en-US"/>
          </w:rPr>
          <w:t>http://lnweb90.worldbank.org/eca/eca.nsf/</w:t>
        </w:r>
      </w:hyperlink>
    </w:p>
    <w:p w:rsidR="007032B8" w:rsidRDefault="00A82BE8">
      <w:pPr>
        <w:pStyle w:val="32"/>
        <w:framePr w:wrap="around" w:vAnchor="page" w:hAnchor="page" w:x="1405" w:y="15536"/>
        <w:shd w:val="clear" w:color="auto" w:fill="auto"/>
        <w:spacing w:line="130" w:lineRule="exact"/>
        <w:ind w:left="20"/>
      </w:pPr>
      <w:r>
        <w:t>Наука молода № 19, 2013 р.</w:t>
      </w:r>
    </w:p>
    <w:p w:rsidR="007032B8" w:rsidRDefault="00A82BE8">
      <w:pPr>
        <w:pStyle w:val="a5"/>
        <w:framePr w:wrap="around" w:vAnchor="page" w:hAnchor="page" w:x="10189" w:y="15559"/>
        <w:shd w:val="clear" w:color="auto" w:fill="auto"/>
        <w:spacing w:before="0" w:line="170" w:lineRule="exact"/>
        <w:ind w:left="20"/>
      </w:pPr>
      <w:r>
        <w:t>191</w:t>
      </w:r>
    </w:p>
    <w:p w:rsidR="007032B8" w:rsidRDefault="007032B8">
      <w:pPr>
        <w:rPr>
          <w:sz w:val="2"/>
          <w:szCs w:val="2"/>
        </w:rPr>
      </w:pPr>
    </w:p>
    <w:sectPr w:rsidR="007032B8" w:rsidSect="007032B8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BE8" w:rsidRDefault="00A82BE8" w:rsidP="007032B8">
      <w:r>
        <w:separator/>
      </w:r>
    </w:p>
  </w:endnote>
  <w:endnote w:type="continuationSeparator" w:id="1">
    <w:p w:rsidR="00A82BE8" w:rsidRDefault="00A82BE8" w:rsidP="007032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BE8" w:rsidRDefault="00A82BE8"/>
  </w:footnote>
  <w:footnote w:type="continuationSeparator" w:id="1">
    <w:p w:rsidR="00A82BE8" w:rsidRDefault="00A82BE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D75F20"/>
    <w:multiLevelType w:val="multilevel"/>
    <w:tmpl w:val="03E497C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7032B8"/>
    <w:rsid w:val="005071B1"/>
    <w:rsid w:val="007032B8"/>
    <w:rsid w:val="00A82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32B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032B8"/>
    <w:rPr>
      <w:color w:val="0066CC"/>
      <w:u w:val="single"/>
    </w:rPr>
  </w:style>
  <w:style w:type="character" w:customStyle="1" w:styleId="2">
    <w:name w:val="Колонтитул (2)_"/>
    <w:basedOn w:val="a0"/>
    <w:link w:val="20"/>
    <w:rsid w:val="007032B8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3"/>
      <w:sz w:val="13"/>
      <w:szCs w:val="13"/>
      <w:u w:val="none"/>
    </w:rPr>
  </w:style>
  <w:style w:type="character" w:customStyle="1" w:styleId="a4">
    <w:name w:val="Колонтитул_"/>
    <w:basedOn w:val="a0"/>
    <w:link w:val="a5"/>
    <w:rsid w:val="007032B8"/>
    <w:rPr>
      <w:rFonts w:ascii="Arial" w:eastAsia="Arial" w:hAnsi="Arial" w:cs="Arial"/>
      <w:b/>
      <w:bCs/>
      <w:i w:val="0"/>
      <w:iCs w:val="0"/>
      <w:smallCaps w:val="0"/>
      <w:strike w:val="0"/>
      <w:spacing w:val="3"/>
      <w:sz w:val="17"/>
      <w:szCs w:val="17"/>
      <w:u w:val="none"/>
    </w:rPr>
  </w:style>
  <w:style w:type="character" w:customStyle="1" w:styleId="1">
    <w:name w:val="Заголовок №1_"/>
    <w:basedOn w:val="a0"/>
    <w:link w:val="10"/>
    <w:rsid w:val="007032B8"/>
    <w:rPr>
      <w:rFonts w:ascii="Arial" w:eastAsia="Arial" w:hAnsi="Arial" w:cs="Arial"/>
      <w:b/>
      <w:bCs/>
      <w:i/>
      <w:iCs/>
      <w:smallCaps w:val="0"/>
      <w:strike w:val="0"/>
      <w:spacing w:val="-3"/>
      <w:sz w:val="18"/>
      <w:szCs w:val="18"/>
      <w:u w:val="none"/>
    </w:rPr>
  </w:style>
  <w:style w:type="character" w:customStyle="1" w:styleId="21">
    <w:name w:val="Основний текст (2)_"/>
    <w:basedOn w:val="a0"/>
    <w:link w:val="22"/>
    <w:rsid w:val="007032B8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2"/>
      <w:sz w:val="20"/>
      <w:szCs w:val="20"/>
      <w:u w:val="none"/>
    </w:rPr>
  </w:style>
  <w:style w:type="character" w:customStyle="1" w:styleId="3">
    <w:name w:val="Основний текст (3)_"/>
    <w:basedOn w:val="a0"/>
    <w:link w:val="30"/>
    <w:rsid w:val="007032B8"/>
    <w:rPr>
      <w:rFonts w:ascii="Arial" w:eastAsia="Arial" w:hAnsi="Arial" w:cs="Arial"/>
      <w:b w:val="0"/>
      <w:bCs w:val="0"/>
      <w:i/>
      <w:iCs/>
      <w:smallCaps w:val="0"/>
      <w:strike w:val="0"/>
      <w:spacing w:val="-1"/>
      <w:sz w:val="18"/>
      <w:szCs w:val="18"/>
      <w:u w:val="none"/>
    </w:rPr>
  </w:style>
  <w:style w:type="character" w:customStyle="1" w:styleId="a6">
    <w:name w:val="Основний текст_"/>
    <w:basedOn w:val="a0"/>
    <w:link w:val="a7"/>
    <w:rsid w:val="007032B8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sz w:val="17"/>
      <w:szCs w:val="17"/>
      <w:u w:val="none"/>
    </w:rPr>
  </w:style>
  <w:style w:type="character" w:customStyle="1" w:styleId="4">
    <w:name w:val="Основний текст (4)_"/>
    <w:basedOn w:val="a0"/>
    <w:link w:val="40"/>
    <w:rsid w:val="007032B8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3"/>
      <w:sz w:val="14"/>
      <w:szCs w:val="14"/>
      <w:u w:val="none"/>
    </w:rPr>
  </w:style>
  <w:style w:type="character" w:customStyle="1" w:styleId="31">
    <w:name w:val="Колонтитул (3)_"/>
    <w:basedOn w:val="a0"/>
    <w:link w:val="32"/>
    <w:rsid w:val="007032B8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13"/>
      <w:szCs w:val="13"/>
      <w:u w:val="none"/>
    </w:rPr>
  </w:style>
  <w:style w:type="character" w:customStyle="1" w:styleId="5">
    <w:name w:val="Основний текст (5)_"/>
    <w:basedOn w:val="a0"/>
    <w:link w:val="50"/>
    <w:rsid w:val="007032B8"/>
    <w:rPr>
      <w:rFonts w:ascii="Arial" w:eastAsia="Arial" w:hAnsi="Arial" w:cs="Arial"/>
      <w:b/>
      <w:bCs/>
      <w:i/>
      <w:iCs/>
      <w:smallCaps w:val="0"/>
      <w:strike w:val="0"/>
      <w:spacing w:val="-3"/>
      <w:sz w:val="18"/>
      <w:szCs w:val="18"/>
      <w:u w:val="none"/>
    </w:rPr>
  </w:style>
  <w:style w:type="paragraph" w:customStyle="1" w:styleId="20">
    <w:name w:val="Колонтитул (2)"/>
    <w:basedOn w:val="a"/>
    <w:link w:val="2"/>
    <w:rsid w:val="007032B8"/>
    <w:pPr>
      <w:shd w:val="clear" w:color="auto" w:fill="FFFFFF"/>
      <w:spacing w:after="60" w:line="0" w:lineRule="atLeast"/>
    </w:pPr>
    <w:rPr>
      <w:rFonts w:ascii="Georgia" w:eastAsia="Georgia" w:hAnsi="Georgia" w:cs="Georgia"/>
      <w:spacing w:val="3"/>
      <w:sz w:val="13"/>
      <w:szCs w:val="13"/>
    </w:rPr>
  </w:style>
  <w:style w:type="paragraph" w:customStyle="1" w:styleId="a5">
    <w:name w:val="Колонтитул"/>
    <w:basedOn w:val="a"/>
    <w:link w:val="a4"/>
    <w:rsid w:val="007032B8"/>
    <w:pPr>
      <w:shd w:val="clear" w:color="auto" w:fill="FFFFFF"/>
      <w:spacing w:before="60" w:line="0" w:lineRule="atLeast"/>
    </w:pPr>
    <w:rPr>
      <w:rFonts w:ascii="Arial" w:eastAsia="Arial" w:hAnsi="Arial" w:cs="Arial"/>
      <w:b/>
      <w:bCs/>
      <w:spacing w:val="3"/>
      <w:sz w:val="17"/>
      <w:szCs w:val="17"/>
    </w:rPr>
  </w:style>
  <w:style w:type="paragraph" w:customStyle="1" w:styleId="10">
    <w:name w:val="Заголовок №1"/>
    <w:basedOn w:val="a"/>
    <w:link w:val="1"/>
    <w:rsid w:val="007032B8"/>
    <w:pPr>
      <w:shd w:val="clear" w:color="auto" w:fill="FFFFFF"/>
      <w:spacing w:after="420" w:line="0" w:lineRule="atLeast"/>
      <w:jc w:val="right"/>
      <w:outlineLvl w:val="0"/>
    </w:pPr>
    <w:rPr>
      <w:rFonts w:ascii="Arial" w:eastAsia="Arial" w:hAnsi="Arial" w:cs="Arial"/>
      <w:b/>
      <w:bCs/>
      <w:i/>
      <w:iCs/>
      <w:spacing w:val="-3"/>
      <w:sz w:val="18"/>
      <w:szCs w:val="18"/>
    </w:rPr>
  </w:style>
  <w:style w:type="paragraph" w:customStyle="1" w:styleId="22">
    <w:name w:val="Основний текст (2)"/>
    <w:basedOn w:val="a"/>
    <w:link w:val="21"/>
    <w:rsid w:val="007032B8"/>
    <w:pPr>
      <w:shd w:val="clear" w:color="auto" w:fill="FFFFFF"/>
      <w:spacing w:before="420" w:after="420" w:line="302" w:lineRule="exact"/>
    </w:pPr>
    <w:rPr>
      <w:rFonts w:ascii="Georgia" w:eastAsia="Georgia" w:hAnsi="Georgia" w:cs="Georgia"/>
      <w:spacing w:val="2"/>
      <w:sz w:val="20"/>
      <w:szCs w:val="20"/>
    </w:rPr>
  </w:style>
  <w:style w:type="paragraph" w:customStyle="1" w:styleId="30">
    <w:name w:val="Основний текст (3)"/>
    <w:basedOn w:val="a"/>
    <w:link w:val="3"/>
    <w:rsid w:val="007032B8"/>
    <w:pPr>
      <w:shd w:val="clear" w:color="auto" w:fill="FFFFFF"/>
      <w:spacing w:before="420" w:after="240" w:line="250" w:lineRule="exact"/>
      <w:ind w:hanging="400"/>
      <w:jc w:val="both"/>
    </w:pPr>
    <w:rPr>
      <w:rFonts w:ascii="Arial" w:eastAsia="Arial" w:hAnsi="Arial" w:cs="Arial"/>
      <w:i/>
      <w:iCs/>
      <w:spacing w:val="-1"/>
      <w:sz w:val="18"/>
      <w:szCs w:val="18"/>
    </w:rPr>
  </w:style>
  <w:style w:type="paragraph" w:customStyle="1" w:styleId="a7">
    <w:name w:val="Основний текст"/>
    <w:basedOn w:val="a"/>
    <w:link w:val="a6"/>
    <w:rsid w:val="007032B8"/>
    <w:pPr>
      <w:shd w:val="clear" w:color="auto" w:fill="FFFFFF"/>
      <w:spacing w:before="240" w:line="250" w:lineRule="exact"/>
      <w:jc w:val="both"/>
    </w:pPr>
    <w:rPr>
      <w:rFonts w:ascii="Arial" w:eastAsia="Arial" w:hAnsi="Arial" w:cs="Arial"/>
      <w:spacing w:val="2"/>
      <w:sz w:val="17"/>
      <w:szCs w:val="17"/>
    </w:rPr>
  </w:style>
  <w:style w:type="paragraph" w:customStyle="1" w:styleId="40">
    <w:name w:val="Основний текст (4)"/>
    <w:basedOn w:val="a"/>
    <w:link w:val="4"/>
    <w:rsid w:val="007032B8"/>
    <w:pPr>
      <w:shd w:val="clear" w:color="auto" w:fill="FFFFFF"/>
      <w:spacing w:before="240" w:line="0" w:lineRule="atLeast"/>
    </w:pPr>
    <w:rPr>
      <w:rFonts w:ascii="Garamond" w:eastAsia="Garamond" w:hAnsi="Garamond" w:cs="Garamond"/>
      <w:spacing w:val="3"/>
      <w:sz w:val="14"/>
      <w:szCs w:val="14"/>
    </w:rPr>
  </w:style>
  <w:style w:type="paragraph" w:customStyle="1" w:styleId="32">
    <w:name w:val="Колонтитул (3)"/>
    <w:basedOn w:val="a"/>
    <w:link w:val="31"/>
    <w:rsid w:val="007032B8"/>
    <w:pPr>
      <w:shd w:val="clear" w:color="auto" w:fill="FFFFFF"/>
      <w:spacing w:line="0" w:lineRule="atLeast"/>
    </w:pPr>
    <w:rPr>
      <w:rFonts w:ascii="Arial" w:eastAsia="Arial" w:hAnsi="Arial" w:cs="Arial"/>
      <w:spacing w:val="3"/>
      <w:sz w:val="13"/>
      <w:szCs w:val="13"/>
    </w:rPr>
  </w:style>
  <w:style w:type="paragraph" w:customStyle="1" w:styleId="50">
    <w:name w:val="Основний текст (5)"/>
    <w:basedOn w:val="a"/>
    <w:link w:val="5"/>
    <w:rsid w:val="007032B8"/>
    <w:pPr>
      <w:shd w:val="clear" w:color="auto" w:fill="FFFFFF"/>
      <w:spacing w:before="120" w:after="120" w:line="0" w:lineRule="atLeast"/>
      <w:jc w:val="center"/>
    </w:pPr>
    <w:rPr>
      <w:rFonts w:ascii="Arial" w:eastAsia="Arial" w:hAnsi="Arial" w:cs="Arial"/>
      <w:b/>
      <w:bCs/>
      <w:i/>
      <w:iCs/>
      <w:spacing w:val="-3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nweb90.worldbank.org/eca/eca.nsf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11512</Words>
  <Characters>6563</Characters>
  <Application>Microsoft Office Word</Application>
  <DocSecurity>0</DocSecurity>
  <Lines>54</Lines>
  <Paragraphs>36</Paragraphs>
  <ScaleCrop>false</ScaleCrop>
  <Company>Microsoft</Company>
  <LinksUpToDate>false</LinksUpToDate>
  <CharactersWithSpaces>18039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LIBRARY</cp:lastModifiedBy>
  <cp:revision>2</cp:revision>
  <dcterms:created xsi:type="dcterms:W3CDTF">2017-06-14T10:04:00Z</dcterms:created>
  <dcterms:modified xsi:type="dcterms:W3CDTF">2017-06-14T10:04:00Z</dcterms:modified>
</cp:coreProperties>
</file>