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B0" w:rsidRDefault="00C346E1">
      <w:pPr>
        <w:pStyle w:val="20"/>
        <w:framePr w:wrap="around" w:vAnchor="page" w:hAnchor="page" w:x="978" w:y="1273"/>
        <w:shd w:val="clear" w:color="auto" w:fill="auto"/>
        <w:spacing w:after="0" w:line="210" w:lineRule="exact"/>
        <w:ind w:left="40"/>
      </w:pPr>
      <w:r>
        <w:rPr>
          <w:lang w:val="ru-RU" w:eastAsia="ru-RU" w:bidi="ru-RU"/>
        </w:rPr>
        <w:t>УДК 336.221.4</w:t>
      </w:r>
    </w:p>
    <w:p w:rsidR="00DA52B0" w:rsidRDefault="00C346E1">
      <w:pPr>
        <w:pStyle w:val="20"/>
        <w:framePr w:w="9984" w:h="13514" w:hRule="exact" w:wrap="around" w:vAnchor="page" w:hAnchor="page" w:x="978" w:y="1551"/>
        <w:shd w:val="clear" w:color="auto" w:fill="auto"/>
        <w:spacing w:after="0" w:line="210" w:lineRule="exact"/>
        <w:jc w:val="center"/>
      </w:pPr>
      <w:r>
        <w:t>Олена Святославівна ЗАКЛЕКТА-БЕРЕСТОВЕНКО</w:t>
      </w:r>
    </w:p>
    <w:p w:rsidR="00DA52B0" w:rsidRDefault="00C346E1">
      <w:pPr>
        <w:pStyle w:val="a5"/>
        <w:framePr w:w="9984" w:h="13514" w:hRule="exact" w:wrap="around" w:vAnchor="page" w:hAnchor="page" w:x="978" w:y="1551"/>
        <w:shd w:val="clear" w:color="auto" w:fill="auto"/>
        <w:spacing w:before="0" w:after="176"/>
      </w:pPr>
      <w:r>
        <w:t xml:space="preserve">к.е.н., доцент, кафедри податків і фіскальної політики Тернопільського національного економічного університету </w:t>
      </w:r>
      <w:r>
        <w:rPr>
          <w:rStyle w:val="0pt"/>
        </w:rPr>
        <w:t xml:space="preserve">Тарас Ярославович МАРШАЛОК </w:t>
      </w:r>
      <w:r>
        <w:t xml:space="preserve">к.е.н., доцент, кафедри податків і фіскальної політики </w:t>
      </w:r>
      <w:r>
        <w:t>Тернопільського національного економічного університету</w:t>
      </w:r>
    </w:p>
    <w:p w:rsidR="00DA52B0" w:rsidRDefault="00C346E1">
      <w:pPr>
        <w:pStyle w:val="20"/>
        <w:framePr w:w="9984" w:h="13514" w:hRule="exact" w:wrap="around" w:vAnchor="page" w:hAnchor="page" w:x="978" w:y="1551"/>
        <w:shd w:val="clear" w:color="auto" w:fill="auto"/>
        <w:spacing w:after="184" w:line="278" w:lineRule="exact"/>
        <w:jc w:val="center"/>
      </w:pPr>
      <w:r>
        <w:t>ТЕОРЕТИКО-ПРАГМАТИЧНІ ОЗНАКИ СПРАВЛЯННЯ ПОДАТКУ НА ДОДАНУ ВАРТІСТЬ В УКР</w:t>
      </w:r>
      <w:r>
        <w:rPr>
          <w:rStyle w:val="21"/>
          <w:b/>
          <w:bCs/>
        </w:rPr>
        <w:t>АЇНІ</w:t>
      </w:r>
    </w:p>
    <w:p w:rsidR="00DA52B0" w:rsidRDefault="00C346E1">
      <w:pPr>
        <w:pStyle w:val="30"/>
        <w:framePr w:w="9984" w:h="13514" w:hRule="exact" w:wrap="around" w:vAnchor="page" w:hAnchor="page" w:x="978" w:y="1551"/>
        <w:shd w:val="clear" w:color="auto" w:fill="auto"/>
        <w:spacing w:before="0"/>
      </w:pPr>
      <w:r>
        <w:t>Анотація</w:t>
      </w:r>
    </w:p>
    <w:p w:rsidR="00DA52B0" w:rsidRDefault="00C346E1">
      <w:pPr>
        <w:pStyle w:val="40"/>
        <w:framePr w:w="9984" w:h="13514" w:hRule="exact" w:wrap="around" w:vAnchor="page" w:hAnchor="page" w:x="978" w:y="1551"/>
        <w:shd w:val="clear" w:color="auto" w:fill="auto"/>
        <w:ind w:left="40" w:right="40" w:firstLine="560"/>
      </w:pPr>
      <w:r>
        <w:t>Метою статті є з ’ясування теоретичних особливостей податку на додану вартість, аналіз ефективності непрямого опод</w:t>
      </w:r>
      <w:r>
        <w:t>аткування в Україні, а також - розробка шляхів раціоналізації справляння ПДВ в Україні.</w:t>
      </w:r>
    </w:p>
    <w:p w:rsidR="00DA52B0" w:rsidRDefault="00C346E1">
      <w:pPr>
        <w:pStyle w:val="40"/>
        <w:framePr w:w="9984" w:h="13514" w:hRule="exact" w:wrap="around" w:vAnchor="page" w:hAnchor="page" w:x="978" w:y="1551"/>
        <w:shd w:val="clear" w:color="auto" w:fill="auto"/>
        <w:ind w:left="40" w:right="40" w:firstLine="560"/>
      </w:pPr>
      <w:r>
        <w:t>Методика дослідження. Для досягнення мети застосовано методи теоретичного узагальнення, аналізу й синтезу (в ході визначення понятійного апарату), історичний метод, мет</w:t>
      </w:r>
      <w:r>
        <w:t>од наукової абстракції та системний підхід. Використання методів порівняльного аналізу, графічного зображення, спостереження та формалізації дало змогу проаналізувати вітчизняну практику справляння податку на додану вартість.</w:t>
      </w:r>
    </w:p>
    <w:p w:rsidR="00DA52B0" w:rsidRDefault="00C346E1">
      <w:pPr>
        <w:pStyle w:val="40"/>
        <w:framePr w:w="9984" w:h="13514" w:hRule="exact" w:wrap="around" w:vAnchor="page" w:hAnchor="page" w:x="978" w:y="1551"/>
        <w:shd w:val="clear" w:color="auto" w:fill="auto"/>
        <w:ind w:left="40" w:right="40" w:firstLine="560"/>
      </w:pPr>
      <w:r>
        <w:t>В статті обґрунтовано переваги</w:t>
      </w:r>
      <w:r>
        <w:t xml:space="preserve"> та недоліки непрямих податків. Висвітлено сутність податку на додану вартість з точки зору його економічної природи, сфери застосування та механізму стягнення. Здійснено порівняльний аналіз податку з обороту, податку з продажу та податку на додану вартіст</w:t>
      </w:r>
      <w:r>
        <w:t>ь із аргументацією переваг останнього. Розглянуто особливості застосування ПДВ країнами ЄС та вивчено рівень його гармонізації в межах співтовариства.</w:t>
      </w:r>
    </w:p>
    <w:p w:rsidR="00DA52B0" w:rsidRDefault="00C346E1">
      <w:pPr>
        <w:pStyle w:val="40"/>
        <w:framePr w:w="9984" w:h="13514" w:hRule="exact" w:wrap="around" w:vAnchor="page" w:hAnchor="page" w:x="978" w:y="1551"/>
        <w:shd w:val="clear" w:color="auto" w:fill="auto"/>
        <w:ind w:left="40" w:right="40" w:firstLine="560"/>
      </w:pPr>
      <w:r>
        <w:t>Проведено дослідження окремих елементів механізму справляння ПДВ, таких як: податкова ставка, база оподат</w:t>
      </w:r>
      <w:r>
        <w:t xml:space="preserve">кування, податкові пільги, методи визначення умов та факту виникнення податкового </w:t>
      </w:r>
      <w:r>
        <w:rPr>
          <w:lang w:val="ru-RU" w:eastAsia="ru-RU" w:bidi="ru-RU"/>
        </w:rPr>
        <w:t xml:space="preserve">зобов </w:t>
      </w:r>
      <w:r>
        <w:t>’язання, порядок відшкодування податку та ін. Здійснено оцінку фіскальної значимості податку на додану вартість як одного із основних джерел формування доходів Державно</w:t>
      </w:r>
      <w:r>
        <w:t>го бюджету України. Окреслено основні напрями реформування податку на додану вартість.</w:t>
      </w:r>
    </w:p>
    <w:p w:rsidR="00DA52B0" w:rsidRDefault="00C346E1">
      <w:pPr>
        <w:pStyle w:val="40"/>
        <w:framePr w:w="9984" w:h="13514" w:hRule="exact" w:wrap="around" w:vAnchor="page" w:hAnchor="page" w:x="978" w:y="1551"/>
        <w:shd w:val="clear" w:color="auto" w:fill="auto"/>
        <w:ind w:left="40" w:right="40" w:firstLine="560"/>
      </w:pPr>
      <w:r>
        <w:t xml:space="preserve">Наукова новизна статті полягає в подальшому розвитку теоретико-організаційних засад </w:t>
      </w:r>
      <w:r>
        <w:rPr>
          <w:lang w:val="ru-RU" w:eastAsia="ru-RU" w:bidi="ru-RU"/>
        </w:rPr>
        <w:t xml:space="preserve">непрямого </w:t>
      </w:r>
      <w:r>
        <w:t xml:space="preserve">оподаткування, застосуванні комплексного підходу до дослідження податку на </w:t>
      </w:r>
      <w:r>
        <w:t>додану вартість та напрацюванні ряду пропозицій щодо напрямів його удосконалення в умовах поглиблення євроінтеграційний процесів.</w:t>
      </w:r>
    </w:p>
    <w:p w:rsidR="00DA52B0" w:rsidRDefault="00C346E1">
      <w:pPr>
        <w:pStyle w:val="40"/>
        <w:framePr w:w="9984" w:h="13514" w:hRule="exact" w:wrap="around" w:vAnchor="page" w:hAnchor="page" w:x="978" w:y="1551"/>
        <w:shd w:val="clear" w:color="auto" w:fill="auto"/>
        <w:ind w:left="40" w:right="40" w:firstLine="560"/>
      </w:pPr>
      <w:r>
        <w:t xml:space="preserve">Практична значущість полягає в тому, що окреслені висновки та пропозиції можуть бути використані органами державної влади </w:t>
      </w:r>
      <w:r>
        <w:t>України при розробці засад довгострокової податкової політики та концепції реформування податкової системи держави.</w:t>
      </w:r>
    </w:p>
    <w:p w:rsidR="00DA52B0" w:rsidRDefault="00C346E1">
      <w:pPr>
        <w:pStyle w:val="40"/>
        <w:framePr w:w="9984" w:h="13514" w:hRule="exact" w:wrap="around" w:vAnchor="page" w:hAnchor="page" w:x="978" w:y="1551"/>
        <w:shd w:val="clear" w:color="auto" w:fill="auto"/>
        <w:spacing w:after="176"/>
        <w:ind w:left="40" w:right="40" w:firstLine="560"/>
      </w:pPr>
      <w:r>
        <w:rPr>
          <w:rStyle w:val="40pt"/>
          <w:i/>
          <w:iCs/>
        </w:rPr>
        <w:t>Ключові слова</w:t>
      </w:r>
      <w:r>
        <w:t>: податок на додану вартість, податкова ставка, податкова пільга, універсальний акциз, податок з продажу, податок з обороту, ві</w:t>
      </w:r>
      <w:r>
        <w:t>дшкодування ПДВ.</w:t>
      </w:r>
    </w:p>
    <w:p w:rsidR="00DA52B0" w:rsidRDefault="00C346E1">
      <w:pPr>
        <w:pStyle w:val="20"/>
        <w:framePr w:w="9984" w:h="13514" w:hRule="exact" w:wrap="around" w:vAnchor="page" w:hAnchor="page" w:x="978" w:y="1551"/>
        <w:shd w:val="clear" w:color="auto" w:fill="auto"/>
        <w:spacing w:after="180" w:line="278" w:lineRule="exact"/>
        <w:jc w:val="center"/>
      </w:pPr>
      <w:r>
        <w:t>Елена Святославовна ЗАКЛЕКТА-БЕРЕСТОВЕНКО Тарас Ярославович МАРШАЛОК</w:t>
      </w:r>
    </w:p>
    <w:p w:rsidR="00DA52B0" w:rsidRDefault="00C346E1">
      <w:pPr>
        <w:pStyle w:val="20"/>
        <w:framePr w:w="9984" w:h="13514" w:hRule="exact" w:wrap="around" w:vAnchor="page" w:hAnchor="page" w:x="978" w:y="1551"/>
        <w:shd w:val="clear" w:color="auto" w:fill="auto"/>
        <w:spacing w:after="184" w:line="278" w:lineRule="exact"/>
        <w:jc w:val="center"/>
      </w:pPr>
      <w:r>
        <w:rPr>
          <w:lang w:val="ru-RU" w:eastAsia="ru-RU" w:bidi="ru-RU"/>
        </w:rPr>
        <w:t xml:space="preserve">ТЕОРЕТИКО-ПРАГМАТИЧЕСКИЕ </w:t>
      </w:r>
      <w:r>
        <w:t xml:space="preserve">ПРИЗНАКИ </w:t>
      </w:r>
      <w:r>
        <w:rPr>
          <w:lang w:val="ru-RU" w:eastAsia="ru-RU" w:bidi="ru-RU"/>
        </w:rPr>
        <w:t xml:space="preserve">ВЗИМАНИЯ НАЛОГА </w:t>
      </w:r>
      <w:r>
        <w:t xml:space="preserve">НА </w:t>
      </w:r>
      <w:r>
        <w:rPr>
          <w:lang w:val="ru-RU" w:eastAsia="ru-RU" w:bidi="ru-RU"/>
        </w:rPr>
        <w:t xml:space="preserve">ДОБАВЛЕННУЮ СТОИМОСТЬ </w:t>
      </w:r>
      <w:r>
        <w:t xml:space="preserve">В </w:t>
      </w:r>
      <w:r>
        <w:rPr>
          <w:lang w:val="ru-RU" w:eastAsia="ru-RU" w:bidi="ru-RU"/>
        </w:rPr>
        <w:t>УКРАИ</w:t>
      </w:r>
      <w:r>
        <w:rPr>
          <w:rStyle w:val="21"/>
          <w:b/>
          <w:bCs/>
          <w:lang w:val="ru-RU" w:eastAsia="ru-RU" w:bidi="ru-RU"/>
        </w:rPr>
        <w:t>Н</w:t>
      </w:r>
      <w:r>
        <w:rPr>
          <w:lang w:val="ru-RU" w:eastAsia="ru-RU" w:bidi="ru-RU"/>
        </w:rPr>
        <w:t>Е</w:t>
      </w:r>
    </w:p>
    <w:p w:rsidR="00DA52B0" w:rsidRDefault="00C346E1">
      <w:pPr>
        <w:pStyle w:val="30"/>
        <w:framePr w:w="9984" w:h="13514" w:hRule="exact" w:wrap="around" w:vAnchor="page" w:hAnchor="page" w:x="978" w:y="1551"/>
        <w:shd w:val="clear" w:color="auto" w:fill="auto"/>
        <w:spacing w:before="0"/>
      </w:pPr>
      <w:r>
        <w:rPr>
          <w:lang w:val="ru-RU" w:eastAsia="ru-RU" w:bidi="ru-RU"/>
        </w:rPr>
        <w:t>Аннотация</w:t>
      </w:r>
    </w:p>
    <w:p w:rsidR="00DA52B0" w:rsidRDefault="00C346E1">
      <w:pPr>
        <w:pStyle w:val="40"/>
        <w:framePr w:w="9984" w:h="13514" w:hRule="exact" w:wrap="around" w:vAnchor="page" w:hAnchor="page" w:x="978" w:y="1551"/>
        <w:shd w:val="clear" w:color="auto" w:fill="auto"/>
        <w:ind w:left="40" w:right="40" w:firstLine="560"/>
      </w:pPr>
      <w:r>
        <w:rPr>
          <w:lang w:val="ru-RU" w:eastAsia="ru-RU" w:bidi="ru-RU"/>
        </w:rPr>
        <w:t>Целью статьи является выяснение теоретических особенностей налога на добавл</w:t>
      </w:r>
      <w:r>
        <w:rPr>
          <w:lang w:val="ru-RU" w:eastAsia="ru-RU" w:bidi="ru-RU"/>
        </w:rPr>
        <w:t>енную стоимость, анализ эффективности косвенного налогообложения в Украине, а также - разработка путей рационализации взимания НДС в Украине.</w:t>
      </w:r>
    </w:p>
    <w:p w:rsidR="00DA52B0" w:rsidRDefault="00C346E1">
      <w:pPr>
        <w:pStyle w:val="a7"/>
        <w:framePr w:wrap="around" w:vAnchor="page" w:hAnchor="page" w:x="1006" w:y="15666"/>
        <w:shd w:val="clear" w:color="auto" w:fill="auto"/>
        <w:spacing w:line="170" w:lineRule="exact"/>
        <w:ind w:left="20"/>
      </w:pPr>
      <w:r>
        <w:rPr>
          <w:lang w:val="ru-RU" w:eastAsia="ru-RU" w:bidi="ru-RU"/>
        </w:rPr>
        <w:t>120</w:t>
      </w:r>
    </w:p>
    <w:p w:rsidR="00DA52B0" w:rsidRDefault="00DA52B0">
      <w:pPr>
        <w:rPr>
          <w:sz w:val="2"/>
          <w:szCs w:val="2"/>
        </w:rPr>
        <w:sectPr w:rsidR="00DA52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52B0" w:rsidRDefault="00C346E1">
      <w:pPr>
        <w:pStyle w:val="40"/>
        <w:framePr w:w="10234" w:h="13575" w:hRule="exact" w:wrap="around" w:vAnchor="page" w:hAnchor="page" w:x="853" w:y="1126"/>
        <w:shd w:val="clear" w:color="auto" w:fill="auto"/>
        <w:ind w:left="40" w:right="280" w:firstLine="560"/>
      </w:pPr>
      <w:r>
        <w:rPr>
          <w:lang w:val="ru-RU" w:eastAsia="ru-RU" w:bidi="ru-RU"/>
        </w:rPr>
        <w:lastRenderedPageBreak/>
        <w:t xml:space="preserve">Методика исследования. Для достижения цели применены методы теоретического обобщения, </w:t>
      </w:r>
      <w:r>
        <w:rPr>
          <w:lang w:val="ru-RU" w:eastAsia="ru-RU" w:bidi="ru-RU"/>
        </w:rPr>
        <w:t>анализа и синтеза (в ходе определения понятийного аппарата), исторический метод, метод научной абстракции и системный подход. Использование методов сравнительного анализа, графического изображения, наблюдения и формализации позволило проанализировать отече</w:t>
      </w:r>
      <w:r>
        <w:rPr>
          <w:lang w:val="ru-RU" w:eastAsia="ru-RU" w:bidi="ru-RU"/>
        </w:rPr>
        <w:t>ственную практику взимания налога на добавленную стоимость.</w:t>
      </w:r>
    </w:p>
    <w:p w:rsidR="00DA52B0" w:rsidRDefault="00C346E1">
      <w:pPr>
        <w:pStyle w:val="40"/>
        <w:framePr w:w="10234" w:h="13575" w:hRule="exact" w:wrap="around" w:vAnchor="page" w:hAnchor="page" w:x="853" w:y="1126"/>
        <w:shd w:val="clear" w:color="auto" w:fill="auto"/>
        <w:ind w:left="40" w:right="280" w:firstLine="560"/>
      </w:pPr>
      <w:r>
        <w:rPr>
          <w:lang w:val="ru-RU" w:eastAsia="ru-RU" w:bidi="ru-RU"/>
        </w:rPr>
        <w:t>В статье обоснованы преимущества и недостатки косвенных налогов. Освещены сущность налога на добавленную стоимость с точки зрения его экономической природы, сферы применения и механизма взыскания.</w:t>
      </w:r>
      <w:r>
        <w:rPr>
          <w:lang w:val="ru-RU" w:eastAsia="ru-RU" w:bidi="ru-RU"/>
        </w:rPr>
        <w:t xml:space="preserve"> Осуществлен сравнительный анализ налога с оборота, налога с продаж и налога на добавленную стоимость с аргументацией преимуществ последнего.</w:t>
      </w:r>
    </w:p>
    <w:p w:rsidR="00DA52B0" w:rsidRDefault="00C346E1">
      <w:pPr>
        <w:pStyle w:val="40"/>
        <w:framePr w:w="10234" w:h="13575" w:hRule="exact" w:wrap="around" w:vAnchor="page" w:hAnchor="page" w:x="853" w:y="1126"/>
        <w:shd w:val="clear" w:color="auto" w:fill="auto"/>
        <w:ind w:left="40" w:right="280" w:firstLine="560"/>
      </w:pPr>
      <w:r>
        <w:rPr>
          <w:lang w:val="ru-RU" w:eastAsia="ru-RU" w:bidi="ru-RU"/>
        </w:rPr>
        <w:t>Рассмотрены особенности применения НДС странами ЕС и изучен уровень его гармонизации в пределах сообщества. Провед</w:t>
      </w:r>
      <w:r>
        <w:rPr>
          <w:lang w:val="ru-RU" w:eastAsia="ru-RU" w:bidi="ru-RU"/>
        </w:rPr>
        <w:t>ено исследование отдельных элементов механизма взимания НДС, таких как: налоговая ставка, база налогообложения, налоговые льготы, методы определения условий и факта возникновения налогового обязательства, порядок возмещения налога и др. Осуществлена оценка</w:t>
      </w:r>
      <w:r>
        <w:rPr>
          <w:lang w:val="ru-RU" w:eastAsia="ru-RU" w:bidi="ru-RU"/>
        </w:rPr>
        <w:t xml:space="preserve"> фискальной значимости налога на добавленную стоимость как одного из основных источников формирования доходов Государственного бюджета Украины. Определены основные направления реформирования налога на добавленную стоимость.</w:t>
      </w:r>
    </w:p>
    <w:p w:rsidR="00DA52B0" w:rsidRDefault="00C346E1">
      <w:pPr>
        <w:pStyle w:val="40"/>
        <w:framePr w:w="10234" w:h="13575" w:hRule="exact" w:wrap="around" w:vAnchor="page" w:hAnchor="page" w:x="853" w:y="1126"/>
        <w:shd w:val="clear" w:color="auto" w:fill="auto"/>
        <w:ind w:left="40" w:right="280" w:firstLine="560"/>
      </w:pPr>
      <w:r>
        <w:rPr>
          <w:lang w:val="ru-RU" w:eastAsia="ru-RU" w:bidi="ru-RU"/>
        </w:rPr>
        <w:t>Научная новизна статьи заключает</w:t>
      </w:r>
      <w:r>
        <w:rPr>
          <w:lang w:val="ru-RU" w:eastAsia="ru-RU" w:bidi="ru-RU"/>
        </w:rPr>
        <w:t>ся в дальнейшем развитии теоретико</w:t>
      </w:r>
      <w:r>
        <w:rPr>
          <w:lang w:val="ru-RU" w:eastAsia="ru-RU" w:bidi="ru-RU"/>
        </w:rPr>
        <w:softHyphen/>
        <w:t>организационных основ косвенного налогообложения, применении комплексного подхода к исследованию налога на добавленную стоимость и наработке ряда предложений относительно направлений его совершенствования в условиях углуб</w:t>
      </w:r>
      <w:r>
        <w:rPr>
          <w:lang w:val="ru-RU" w:eastAsia="ru-RU" w:bidi="ru-RU"/>
        </w:rPr>
        <w:t>ления интеграционных процессов.</w:t>
      </w:r>
    </w:p>
    <w:p w:rsidR="00DA52B0" w:rsidRDefault="00C346E1">
      <w:pPr>
        <w:pStyle w:val="40"/>
        <w:framePr w:w="10234" w:h="13575" w:hRule="exact" w:wrap="around" w:vAnchor="page" w:hAnchor="page" w:x="853" w:y="1126"/>
        <w:shd w:val="clear" w:color="auto" w:fill="auto"/>
        <w:ind w:left="40" w:right="280" w:firstLine="560"/>
      </w:pPr>
      <w:r>
        <w:rPr>
          <w:lang w:val="ru-RU" w:eastAsia="ru-RU" w:bidi="ru-RU"/>
        </w:rPr>
        <w:t>Практическая значимость состоит в том, что указанные выводы и предложения могут быть использованы органами государственной власти Украины при разработке основ долгосрочной налоговой политики и концепции реформирования налого</w:t>
      </w:r>
      <w:r>
        <w:rPr>
          <w:lang w:val="ru-RU" w:eastAsia="ru-RU" w:bidi="ru-RU"/>
        </w:rPr>
        <w:t>вой системы государства.</w:t>
      </w:r>
    </w:p>
    <w:p w:rsidR="00DA52B0" w:rsidRDefault="00C346E1">
      <w:pPr>
        <w:pStyle w:val="40"/>
        <w:framePr w:w="10234" w:h="13575" w:hRule="exact" w:wrap="around" w:vAnchor="page" w:hAnchor="page" w:x="853" w:y="1126"/>
        <w:shd w:val="clear" w:color="auto" w:fill="auto"/>
        <w:spacing w:after="240"/>
        <w:ind w:left="40" w:right="280" w:firstLine="560"/>
      </w:pPr>
      <w:r>
        <w:rPr>
          <w:lang w:val="ru-RU" w:eastAsia="ru-RU" w:bidi="ru-RU"/>
        </w:rPr>
        <w:t>Ключевые слова: налог на добавленную стоимость, налоговая ставка, налоговая льгота, универсальный акциз, налог с продаж, налог с оборота, возмещение НДС.</w:t>
      </w:r>
    </w:p>
    <w:p w:rsidR="00DA52B0" w:rsidRDefault="00C346E1">
      <w:pPr>
        <w:pStyle w:val="120"/>
        <w:framePr w:w="10234" w:h="13575" w:hRule="exact" w:wrap="around" w:vAnchor="page" w:hAnchor="page" w:x="853" w:y="1126"/>
        <w:shd w:val="clear" w:color="auto" w:fill="auto"/>
        <w:spacing w:before="0"/>
        <w:ind w:left="260"/>
      </w:pPr>
      <w:bookmarkStart w:id="0" w:name="bookmark0"/>
      <w:r>
        <w:t>ZAKLEKTA-BERESTOVENKO Elena Svyatoslavivna.,</w:t>
      </w:r>
      <w:bookmarkEnd w:id="0"/>
    </w:p>
    <w:p w:rsidR="00DA52B0" w:rsidRDefault="00C346E1">
      <w:pPr>
        <w:pStyle w:val="a5"/>
        <w:framePr w:w="10234" w:h="13575" w:hRule="exact" w:wrap="around" w:vAnchor="page" w:hAnchor="page" w:x="853" w:y="1126"/>
        <w:shd w:val="clear" w:color="auto" w:fill="auto"/>
        <w:spacing w:before="0" w:after="0"/>
        <w:ind w:left="260"/>
      </w:pPr>
      <w:r>
        <w:rPr>
          <w:lang w:val="en-US" w:eastAsia="en-US" w:bidi="en-US"/>
        </w:rPr>
        <w:t>PhD, Associate Professor,</w:t>
      </w:r>
    </w:p>
    <w:p w:rsidR="00DA52B0" w:rsidRDefault="00C346E1">
      <w:pPr>
        <w:pStyle w:val="a5"/>
        <w:framePr w:w="10234" w:h="13575" w:hRule="exact" w:wrap="around" w:vAnchor="page" w:hAnchor="page" w:x="853" w:y="1126"/>
        <w:shd w:val="clear" w:color="auto" w:fill="auto"/>
        <w:spacing w:before="0" w:after="0"/>
        <w:ind w:left="260"/>
      </w:pPr>
      <w:r>
        <w:rPr>
          <w:lang w:val="en-US" w:eastAsia="en-US" w:bidi="en-US"/>
        </w:rPr>
        <w:t xml:space="preserve">Ternopil National Economic University </w:t>
      </w:r>
      <w:r>
        <w:rPr>
          <w:rStyle w:val="0pt"/>
          <w:lang w:val="en-US" w:eastAsia="en-US" w:bidi="en-US"/>
        </w:rPr>
        <w:t>Taras Yaroslavovych Marshalok,</w:t>
      </w:r>
    </w:p>
    <w:p w:rsidR="00DA52B0" w:rsidRDefault="00C346E1">
      <w:pPr>
        <w:pStyle w:val="a5"/>
        <w:framePr w:w="10234" w:h="13575" w:hRule="exact" w:wrap="around" w:vAnchor="page" w:hAnchor="page" w:x="853" w:y="1126"/>
        <w:shd w:val="clear" w:color="auto" w:fill="auto"/>
        <w:spacing w:before="0" w:after="0"/>
        <w:ind w:left="260"/>
      </w:pPr>
      <w:r>
        <w:rPr>
          <w:lang w:val="en-US" w:eastAsia="en-US" w:bidi="en-US"/>
        </w:rPr>
        <w:t>PhD, Associate Professor,</w:t>
      </w:r>
    </w:p>
    <w:p w:rsidR="00DA52B0" w:rsidRDefault="00C346E1">
      <w:pPr>
        <w:pStyle w:val="a5"/>
        <w:framePr w:w="10234" w:h="13575" w:hRule="exact" w:wrap="around" w:vAnchor="page" w:hAnchor="page" w:x="853" w:y="1126"/>
        <w:shd w:val="clear" w:color="auto" w:fill="auto"/>
        <w:spacing w:before="0" w:after="291"/>
        <w:ind w:left="260"/>
      </w:pPr>
      <w:r>
        <w:rPr>
          <w:lang w:val="en-US" w:eastAsia="en-US" w:bidi="en-US"/>
        </w:rPr>
        <w:t>Ternopil National Economic University</w:t>
      </w:r>
    </w:p>
    <w:p w:rsidR="00DA52B0" w:rsidRDefault="00C346E1">
      <w:pPr>
        <w:pStyle w:val="120"/>
        <w:framePr w:w="10234" w:h="13575" w:hRule="exact" w:wrap="around" w:vAnchor="page" w:hAnchor="page" w:x="853" w:y="1126"/>
        <w:shd w:val="clear" w:color="auto" w:fill="auto"/>
        <w:spacing w:before="0" w:line="210" w:lineRule="exact"/>
        <w:ind w:left="260"/>
      </w:pPr>
      <w:bookmarkStart w:id="1" w:name="bookmark1"/>
      <w:r>
        <w:t xml:space="preserve">THEORETICAL AND SYMPTOMS PRAGMATIC CHARGING VAT IN UKRAINE </w:t>
      </w:r>
      <w:r>
        <w:rPr>
          <w:rStyle w:val="120pt"/>
        </w:rPr>
        <w:t>Summary</w:t>
      </w:r>
      <w:bookmarkEnd w:id="1"/>
    </w:p>
    <w:p w:rsidR="00DA52B0" w:rsidRDefault="00C346E1">
      <w:pPr>
        <w:pStyle w:val="40"/>
        <w:framePr w:w="10234" w:h="13575" w:hRule="exact" w:wrap="around" w:vAnchor="page" w:hAnchor="page" w:x="853" w:y="1126"/>
        <w:shd w:val="clear" w:color="auto" w:fill="auto"/>
        <w:ind w:left="40" w:firstLine="560"/>
      </w:pPr>
      <w:r>
        <w:rPr>
          <w:lang w:val="en-US" w:eastAsia="en-US" w:bidi="en-US"/>
        </w:rPr>
        <w:t xml:space="preserve">Subject: Theoretical and practical features of </w:t>
      </w:r>
      <w:r>
        <w:rPr>
          <w:lang w:val="en-US" w:eastAsia="en-US" w:bidi="en-US"/>
        </w:rPr>
        <w:t>collection of a value added tax.</w:t>
      </w:r>
    </w:p>
    <w:p w:rsidR="00DA52B0" w:rsidRDefault="00C346E1">
      <w:pPr>
        <w:pStyle w:val="40"/>
        <w:framePr w:w="10234" w:h="13575" w:hRule="exact" w:wrap="around" w:vAnchor="page" w:hAnchor="page" w:x="853" w:y="1126"/>
        <w:shd w:val="clear" w:color="auto" w:fill="auto"/>
        <w:ind w:left="40" w:right="280" w:firstLine="560"/>
      </w:pPr>
      <w:r>
        <w:rPr>
          <w:lang w:val="en-US" w:eastAsia="en-US" w:bidi="en-US"/>
        </w:rPr>
        <w:t>The purpose of article is clarification of theoretical features of a value added tax, the analysis of efficiency of the indirect taxation in Ukraine, and also - development of ways of rationalization of collection of the VA</w:t>
      </w:r>
      <w:r>
        <w:rPr>
          <w:lang w:val="en-US" w:eastAsia="en-US" w:bidi="en-US"/>
        </w:rPr>
        <w:t>T in Ukraine.</w:t>
      </w:r>
    </w:p>
    <w:p w:rsidR="00DA52B0" w:rsidRDefault="00C346E1">
      <w:pPr>
        <w:pStyle w:val="40"/>
        <w:framePr w:w="10234" w:h="13575" w:hRule="exact" w:wrap="around" w:vAnchor="page" w:hAnchor="page" w:x="853" w:y="1126"/>
        <w:shd w:val="clear" w:color="auto" w:fill="auto"/>
        <w:ind w:left="40" w:right="280" w:firstLine="560"/>
      </w:pPr>
      <w:r>
        <w:rPr>
          <w:lang w:val="en-US" w:eastAsia="en-US" w:bidi="en-US"/>
        </w:rPr>
        <w:t xml:space="preserve">Research technique. Methods of theoretical generalization, the analysis and synthesis (are applied to achievement of the purpose during definition of a conceptual framework), a historical method, a method of scientific abstraction and system </w:t>
      </w:r>
      <w:r>
        <w:rPr>
          <w:lang w:val="en-US" w:eastAsia="en-US" w:bidi="en-US"/>
        </w:rPr>
        <w:t>approach. Use of methods of the comparative analysis, a graphic representation, supervision and formalization allowed to analyse domestic practice of collection of a value added tax.</w:t>
      </w:r>
    </w:p>
    <w:p w:rsidR="00DA52B0" w:rsidRDefault="00C346E1">
      <w:pPr>
        <w:pStyle w:val="a7"/>
        <w:framePr w:wrap="around" w:vAnchor="page" w:hAnchor="page" w:x="858" w:y="15618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1818-2682. </w:t>
      </w:r>
      <w:r>
        <w:rPr>
          <w:lang w:val="ru-RU" w:eastAsia="ru-RU" w:bidi="ru-RU"/>
        </w:rPr>
        <w:t xml:space="preserve">Наука молода, </w:t>
      </w:r>
      <w:r>
        <w:rPr>
          <w:lang w:val="en-US" w:eastAsia="en-US" w:bidi="en-US"/>
        </w:rPr>
        <w:t xml:space="preserve">2014 </w:t>
      </w:r>
      <w:r>
        <w:t xml:space="preserve">рік. </w:t>
      </w:r>
      <w:r>
        <w:rPr>
          <w:lang w:val="en-US" w:eastAsia="en-US" w:bidi="en-US"/>
        </w:rPr>
        <w:t>№ 21</w:t>
      </w:r>
    </w:p>
    <w:p w:rsidR="00DA52B0" w:rsidRDefault="00C346E1">
      <w:pPr>
        <w:pStyle w:val="a7"/>
        <w:framePr w:wrap="around" w:vAnchor="page" w:hAnchor="page" w:x="10496" w:y="15623"/>
        <w:shd w:val="clear" w:color="auto" w:fill="auto"/>
        <w:spacing w:line="170" w:lineRule="exact"/>
        <w:ind w:left="20"/>
      </w:pPr>
      <w:r>
        <w:t>121</w:t>
      </w:r>
    </w:p>
    <w:p w:rsidR="00DA52B0" w:rsidRDefault="00DA52B0">
      <w:pPr>
        <w:rPr>
          <w:sz w:val="2"/>
          <w:szCs w:val="2"/>
        </w:rPr>
        <w:sectPr w:rsidR="00DA52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52B0" w:rsidRDefault="00C346E1">
      <w:pPr>
        <w:pStyle w:val="40"/>
        <w:framePr w:w="9989" w:h="13848" w:hRule="exact" w:wrap="around" w:vAnchor="page" w:hAnchor="page" w:x="975" w:y="1217"/>
        <w:shd w:val="clear" w:color="auto" w:fill="auto"/>
        <w:ind w:left="20" w:right="60" w:firstLine="560"/>
      </w:pPr>
      <w:r>
        <w:rPr>
          <w:lang w:val="en-US" w:eastAsia="en-US" w:bidi="en-US"/>
        </w:rPr>
        <w:lastRenderedPageBreak/>
        <w:t>In</w:t>
      </w:r>
      <w:r>
        <w:rPr>
          <w:lang w:val="en-US" w:eastAsia="en-US" w:bidi="en-US"/>
        </w:rPr>
        <w:t xml:space="preserve"> article advantages and shortcomings of indirect taxes are proved. Are covered essence of a value added tax from the point of view of its economic nature, scope of application and the mechanism of collecting. The comparative analysis of a sale tax, tax on </w:t>
      </w:r>
      <w:r>
        <w:rPr>
          <w:lang w:val="en-US" w:eastAsia="en-US" w:bidi="en-US"/>
        </w:rPr>
        <w:t>sales and a value added tax with the argument of advantages of the last is carried out.</w:t>
      </w:r>
    </w:p>
    <w:p w:rsidR="00DA52B0" w:rsidRDefault="00C346E1">
      <w:pPr>
        <w:pStyle w:val="40"/>
        <w:framePr w:w="9989" w:h="13848" w:hRule="exact" w:wrap="around" w:vAnchor="page" w:hAnchor="page" w:x="975" w:y="1217"/>
        <w:shd w:val="clear" w:color="auto" w:fill="auto"/>
        <w:ind w:left="20" w:right="60" w:firstLine="560"/>
      </w:pPr>
      <w:r>
        <w:rPr>
          <w:lang w:val="en-US" w:eastAsia="en-US" w:bidi="en-US"/>
        </w:rPr>
        <w:t>Features of application of the VAT by EU countries are considered and the level of its harmonization within community is studied. Research of separate elements of the m</w:t>
      </w:r>
      <w:r>
        <w:rPr>
          <w:lang w:val="en-US" w:eastAsia="en-US" w:bidi="en-US"/>
        </w:rPr>
        <w:t>echanism of collection of the VAT, such as is conducted: tax rate, base of the taxation, tax privileges, methods of definition of conditions and fact of emergence of the tax obligation, order of compensation of a tax, etc. The assessment of the fiscal impo</w:t>
      </w:r>
      <w:r>
        <w:rPr>
          <w:lang w:val="en-US" w:eastAsia="en-US" w:bidi="en-US"/>
        </w:rPr>
        <w:t>rtance of a value added tax as one of the main sources of formation of the income of the State budget of Ukraine is carried out. The main directions of reforming of a value added tax are defined.</w:t>
      </w:r>
    </w:p>
    <w:p w:rsidR="00DA52B0" w:rsidRDefault="00C346E1">
      <w:pPr>
        <w:pStyle w:val="40"/>
        <w:framePr w:w="9989" w:h="13848" w:hRule="exact" w:wrap="around" w:vAnchor="page" w:hAnchor="page" w:x="975" w:y="1217"/>
        <w:shd w:val="clear" w:color="auto" w:fill="auto"/>
        <w:ind w:left="20" w:right="60" w:firstLine="560"/>
      </w:pPr>
      <w:r>
        <w:rPr>
          <w:lang w:val="en-US" w:eastAsia="en-US" w:bidi="en-US"/>
        </w:rPr>
        <w:t xml:space="preserve">Scientific novelty of article consists in further </w:t>
      </w:r>
      <w:r>
        <w:rPr>
          <w:lang w:val="en-US" w:eastAsia="en-US" w:bidi="en-US"/>
        </w:rPr>
        <w:t>development theoretical and the organizational of bases of the indirect taxation, application of an integrated approach to research of a value added tax and an operating time of a number of offers concerning the directions of its improvement in the conditi</w:t>
      </w:r>
      <w:r>
        <w:rPr>
          <w:lang w:val="en-US" w:eastAsia="en-US" w:bidi="en-US"/>
        </w:rPr>
        <w:t>ons of deepening of integration processes.</w:t>
      </w:r>
    </w:p>
    <w:p w:rsidR="00DA52B0" w:rsidRDefault="00C346E1">
      <w:pPr>
        <w:pStyle w:val="40"/>
        <w:framePr w:w="9989" w:h="13848" w:hRule="exact" w:wrap="around" w:vAnchor="page" w:hAnchor="page" w:x="975" w:y="1217"/>
        <w:shd w:val="clear" w:color="auto" w:fill="auto"/>
        <w:ind w:left="20" w:right="60" w:firstLine="560"/>
      </w:pPr>
      <w:r>
        <w:rPr>
          <w:lang w:val="en-US" w:eastAsia="en-US" w:bidi="en-US"/>
        </w:rPr>
        <w:t>The practical importance consists that the specified conclusions and offers can be used by public authorities of Ukraine when developing bases of a long-term tax policy and the concept of reforming of tax system o</w:t>
      </w:r>
      <w:r>
        <w:rPr>
          <w:lang w:val="en-US" w:eastAsia="en-US" w:bidi="en-US"/>
        </w:rPr>
        <w:t>f the state.</w:t>
      </w:r>
    </w:p>
    <w:p w:rsidR="00DA52B0" w:rsidRDefault="00C346E1">
      <w:pPr>
        <w:pStyle w:val="40"/>
        <w:framePr w:w="9989" w:h="13848" w:hRule="exact" w:wrap="around" w:vAnchor="page" w:hAnchor="page" w:x="975" w:y="1217"/>
        <w:shd w:val="clear" w:color="auto" w:fill="auto"/>
        <w:spacing w:after="240"/>
        <w:ind w:left="20" w:right="60" w:firstLine="560"/>
      </w:pPr>
      <w:r>
        <w:rPr>
          <w:lang w:val="en-US" w:eastAsia="en-US" w:bidi="en-US"/>
        </w:rPr>
        <w:t>Keywords: value added tax, tax rate, tax privilege, universal excise, tax on sales, sale tax, compensation of the VAT.</w:t>
      </w:r>
    </w:p>
    <w:p w:rsidR="00DA52B0" w:rsidRDefault="00C346E1">
      <w:pPr>
        <w:pStyle w:val="a5"/>
        <w:framePr w:w="9989" w:h="13848" w:hRule="exact" w:wrap="around" w:vAnchor="page" w:hAnchor="page" w:x="975" w:y="1217"/>
        <w:shd w:val="clear" w:color="auto" w:fill="auto"/>
        <w:spacing w:before="0" w:after="0"/>
        <w:ind w:left="20" w:right="60" w:firstLine="560"/>
        <w:jc w:val="both"/>
      </w:pPr>
      <w:r>
        <w:rPr>
          <w:rStyle w:val="0pt"/>
        </w:rPr>
        <w:t xml:space="preserve">Постановка проблеми. </w:t>
      </w:r>
      <w:r>
        <w:t>Податок на додану вартість належить до податків на товари і послуги або до податків на споживання (непр</w:t>
      </w:r>
      <w:r>
        <w:t>ямих податків) та широко застосовується у податкових системах більшості країн світу. Даний податок є важливою складовою бюджетно- податкової політики, оскільки наділений значним фіскальним та регулюючим потенціалом. Ефективність справляння П</w:t>
      </w:r>
      <w:r>
        <w:rPr>
          <w:rStyle w:val="a8"/>
        </w:rPr>
        <w:t>ДВ</w:t>
      </w:r>
      <w:r>
        <w:t xml:space="preserve"> визначається</w:t>
      </w:r>
      <w:r>
        <w:t xml:space="preserve"> рівнем досягнення балансу між такими критеріями державної податкової політики як фіскальна достатність, економічна ефективність та соціальна справедливість тобто рівнем реалізації соціально-економічних потреб держави та окремих суб’єктів економіки за помі</w:t>
      </w:r>
      <w:r>
        <w:t>рного податкового навантаження на платників податків. В свою чергу, необхідність реформування механізму справляння ПДВ сьогодні обумовлена порушеннями у структурі внутрішнього попиту та пропозиції, диспропорціями розвитку споживчого ринку, достатньо низьки</w:t>
      </w:r>
      <w:r>
        <w:t>м рівнем конкурентоспроможності вітчизняної продукції та недостатньою розвиненістю пріоритетних видів економічної діяльності тощо.</w:t>
      </w:r>
    </w:p>
    <w:p w:rsidR="00DA52B0" w:rsidRDefault="00C346E1">
      <w:pPr>
        <w:pStyle w:val="a5"/>
        <w:framePr w:w="9989" w:h="13848" w:hRule="exact" w:wrap="around" w:vAnchor="page" w:hAnchor="page" w:x="975" w:y="1217"/>
        <w:shd w:val="clear" w:color="auto" w:fill="auto"/>
        <w:spacing w:before="0" w:after="0"/>
        <w:ind w:left="20" w:right="60" w:firstLine="560"/>
        <w:jc w:val="both"/>
      </w:pPr>
      <w:r>
        <w:rPr>
          <w:rStyle w:val="0pt"/>
        </w:rPr>
        <w:t xml:space="preserve">Аналіз останніх досліджень і публікацій. </w:t>
      </w:r>
      <w:r>
        <w:t>Проблематика справляння податку на додану вартість є об’єктом дослідження багатьох в</w:t>
      </w:r>
      <w:r>
        <w:t>ітчизняних та зарубіжних вчених, які зосереджують свою увагу на вивченні та аналізі структури податку, його місця в податковій системі, пільгах щодо сплати ПДВ, розширення бази оподаткування, встановлення оптимальних податкових ставок податку на додану вар</w:t>
      </w:r>
      <w:r>
        <w:t xml:space="preserve">тість. До найбільш значимих досліджень з даної проблематики варто віднести праці таких вітчизняних науковців як: Андрущенка В.Л., Десятнюк О.М., Іванова Ю.Б., Крисоватого А.І., Кириленко О.П., Опаріна В. М., Тимченко О.М., Федосова В.М., Швабія К.І., Юрія </w:t>
      </w:r>
      <w:r>
        <w:t>С.І та ін. Однак на сьогодні досі не запропоновано єдиного механізму справляння ПДВ, який мав би найбільш ефективну конструкцію, яка б найбільш раціонально об’єднувала критерії фіскальної достатності, економічної ефективності та соціальної справедливості.</w:t>
      </w:r>
    </w:p>
    <w:p w:rsidR="00DA52B0" w:rsidRDefault="00C346E1">
      <w:pPr>
        <w:pStyle w:val="a5"/>
        <w:framePr w:w="9989" w:h="13848" w:hRule="exact" w:wrap="around" w:vAnchor="page" w:hAnchor="page" w:x="975" w:y="1217"/>
        <w:shd w:val="clear" w:color="auto" w:fill="auto"/>
        <w:spacing w:before="0" w:after="0"/>
        <w:ind w:left="20" w:right="60" w:firstLine="560"/>
        <w:jc w:val="both"/>
      </w:pPr>
      <w:r>
        <w:rPr>
          <w:rStyle w:val="0pt"/>
        </w:rPr>
        <w:t xml:space="preserve">Метою статті є </w:t>
      </w:r>
      <w:r>
        <w:t>з’ясувати теоретичні особливості податку на додану вартість, проаналізувати ефективність непрямого оподаткування в Україні, а також запропонувати шляхи раціоналізації справляння П</w:t>
      </w:r>
      <w:r>
        <w:rPr>
          <w:rStyle w:val="a8"/>
        </w:rPr>
        <w:t>ДВ</w:t>
      </w:r>
      <w:r>
        <w:t xml:space="preserve"> в Україні.</w:t>
      </w:r>
    </w:p>
    <w:p w:rsidR="00DA52B0" w:rsidRDefault="00C346E1">
      <w:pPr>
        <w:pStyle w:val="a5"/>
        <w:framePr w:w="9989" w:h="13848" w:hRule="exact" w:wrap="around" w:vAnchor="page" w:hAnchor="page" w:x="975" w:y="1217"/>
        <w:shd w:val="clear" w:color="auto" w:fill="auto"/>
        <w:spacing w:before="0" w:after="0"/>
        <w:ind w:left="20" w:right="60" w:firstLine="560"/>
        <w:jc w:val="both"/>
      </w:pPr>
      <w:r>
        <w:rPr>
          <w:rStyle w:val="0pt"/>
        </w:rPr>
        <w:t>Виклад основного матеріалу</w:t>
      </w:r>
      <w:r>
        <w:t>. Необхідність викорис</w:t>
      </w:r>
      <w:r>
        <w:t>тання непрямих податків як елементу податкової системи обґрунтовується представниками теорії економіки добробуту. Згідно даної теорії універсальні акцизи, на відміну від прямих податків, не зменшують обсягу коштів, яка б</w:t>
      </w:r>
    </w:p>
    <w:p w:rsidR="00DA52B0" w:rsidRDefault="00C346E1">
      <w:pPr>
        <w:pStyle w:val="a7"/>
        <w:framePr w:wrap="around" w:vAnchor="page" w:hAnchor="page" w:x="975" w:y="15666"/>
        <w:shd w:val="clear" w:color="auto" w:fill="auto"/>
        <w:spacing w:line="170" w:lineRule="exact"/>
        <w:ind w:left="20"/>
      </w:pPr>
      <w:r>
        <w:t>122</w:t>
      </w:r>
    </w:p>
    <w:p w:rsidR="00DA52B0" w:rsidRDefault="00DA52B0">
      <w:pPr>
        <w:rPr>
          <w:sz w:val="2"/>
          <w:szCs w:val="2"/>
        </w:rPr>
        <w:sectPr w:rsidR="00DA52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52B0" w:rsidRDefault="00C346E1">
      <w:pPr>
        <w:pStyle w:val="a5"/>
        <w:framePr w:w="9931" w:h="3638" w:hRule="exact" w:wrap="around" w:vAnchor="page" w:hAnchor="page" w:x="1004" w:y="1131"/>
        <w:shd w:val="clear" w:color="auto" w:fill="auto"/>
        <w:tabs>
          <w:tab w:val="left" w:pos="6298"/>
        </w:tabs>
        <w:spacing w:before="0" w:after="0"/>
        <w:ind w:left="20" w:right="20"/>
        <w:jc w:val="both"/>
      </w:pPr>
      <w:r>
        <w:lastRenderedPageBreak/>
        <w:t xml:space="preserve">могла </w:t>
      </w:r>
      <w:r>
        <w:t>бути спрямована на заощадження, а тому - рівною мірою оподатковують поточне і майбутнє споживання. Крім зазначеного, непрямі податки (у т.ч. і П</w:t>
      </w:r>
      <w:r>
        <w:rPr>
          <w:rStyle w:val="a8"/>
        </w:rPr>
        <w:t>ДВ</w:t>
      </w:r>
      <w:r>
        <w:t>): мають високу фіскальну ефективність, оскільки їх база є менш чутливою до циклічних змін економічного розвит</w:t>
      </w:r>
      <w:r>
        <w:t>ку; з психологічної точки зору є менш відчутними для платників; дозволяють оподатковувати ті доходи, які не потрапляють у базу оподаткування прямих податків. До вад податків на споживання варто віднести наступні:</w:t>
      </w:r>
      <w:r>
        <w:tab/>
        <w:t>вони не повністю враховують</w:t>
      </w:r>
    </w:p>
    <w:p w:rsidR="00DA52B0" w:rsidRDefault="00C346E1">
      <w:pPr>
        <w:pStyle w:val="a5"/>
        <w:framePr w:w="9931" w:h="3638" w:hRule="exact" w:wrap="around" w:vAnchor="page" w:hAnchor="page" w:x="1004" w:y="1131"/>
        <w:shd w:val="clear" w:color="auto" w:fill="auto"/>
        <w:spacing w:before="0" w:after="0"/>
        <w:ind w:left="20" w:right="20"/>
        <w:jc w:val="both"/>
      </w:pPr>
      <w:r>
        <w:t>платоспроможніс</w:t>
      </w:r>
      <w:r>
        <w:t>ть окремих індивідів; спричиняють інфляцію (сприяють зростанню споживчих цін); становлять більшу частку у доходах малозабезпечених верств населення; обмежують споживання; не стимулюють платників до активного впливу на процеси формування податкової політики</w:t>
      </w:r>
      <w:r>
        <w:t xml:space="preserve"> (табл. 1). Незважаючи на наявність недоліків непрямого оподаткування, поєднання податків на споживання із податками на доходи сприяє компенсації вад одних перевагами інших, що в цілому підвищує ефективність податкової системи держави і пояснює необхідніст</w:t>
      </w:r>
      <w:r>
        <w:t>ь їх паралельного використання</w:t>
      </w:r>
      <w:r>
        <w:rPr>
          <w:vertAlign w:val="superscript"/>
        </w:rPr>
        <w:t>1</w:t>
      </w:r>
      <w:r>
        <w:t>.</w:t>
      </w:r>
    </w:p>
    <w:p w:rsidR="00DA52B0" w:rsidRDefault="00C346E1">
      <w:pPr>
        <w:pStyle w:val="aa"/>
        <w:framePr w:w="6874" w:h="567" w:hRule="exact" w:wrap="around" w:vAnchor="page" w:hAnchor="page" w:x="4038" w:y="4767"/>
        <w:shd w:val="clear" w:color="auto" w:fill="auto"/>
        <w:spacing w:line="210" w:lineRule="exact"/>
      </w:pPr>
      <w:r>
        <w:t>Таблиця 1</w:t>
      </w:r>
    </w:p>
    <w:p w:rsidR="00DA52B0" w:rsidRDefault="00C346E1">
      <w:pPr>
        <w:pStyle w:val="aa"/>
        <w:framePr w:w="6874" w:h="567" w:hRule="exact" w:wrap="around" w:vAnchor="page" w:hAnchor="page" w:x="4038" w:y="4767"/>
        <w:shd w:val="clear" w:color="auto" w:fill="auto"/>
        <w:tabs>
          <w:tab w:val="left" w:leader="underscore" w:pos="6749"/>
        </w:tabs>
        <w:spacing w:line="210" w:lineRule="exact"/>
        <w:jc w:val="both"/>
      </w:pPr>
      <w:r>
        <w:rPr>
          <w:rStyle w:val="ab"/>
          <w:b/>
          <w:bCs/>
        </w:rPr>
        <w:t>Переваги та недоліки непрямих податків</w:t>
      </w:r>
      <w:r>
        <w:rPr>
          <w:rStyle w:val="ab"/>
          <w:b/>
          <w:bCs/>
          <w:vertAlign w:val="superscript"/>
        </w:rPr>
        <w:t>2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5112"/>
      </w:tblGrid>
      <w:tr w:rsidR="00DA52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62" w:h="5602" w:wrap="around" w:vAnchor="page" w:hAnchor="page" w:x="1138" w:y="5286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Переваги непрямих податків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62" w:h="5602" w:wrap="around" w:vAnchor="page" w:hAnchor="page" w:x="1138" w:y="5286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Недоліки непрямих податків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62" w:h="5602" w:wrap="around" w:vAnchor="page" w:hAnchor="page" w:x="1138" w:y="5286"/>
              <w:shd w:val="clear" w:color="auto" w:fill="auto"/>
              <w:spacing w:before="0" w:after="0"/>
              <w:jc w:val="both"/>
            </w:pPr>
            <w:r>
              <w:rPr>
                <w:rStyle w:val="ac"/>
              </w:rPr>
              <w:t>Не стримують заощадження, а отже є більш нейтральними порівняно із податками на доходи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B0" w:rsidRDefault="00C346E1">
            <w:pPr>
              <w:pStyle w:val="a5"/>
              <w:framePr w:w="9662" w:h="5602" w:wrap="around" w:vAnchor="page" w:hAnchor="page" w:x="1138" w:y="5286"/>
              <w:shd w:val="clear" w:color="auto" w:fill="auto"/>
              <w:spacing w:before="0" w:after="0"/>
              <w:jc w:val="both"/>
            </w:pPr>
            <w:r>
              <w:rPr>
                <w:rStyle w:val="ac"/>
              </w:rPr>
              <w:t xml:space="preserve">Сприяють зростанню рівня цін, </w:t>
            </w:r>
            <w:r>
              <w:rPr>
                <w:rStyle w:val="ac"/>
              </w:rPr>
              <w:t>а отже можуть породжувати інфляцію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62" w:h="5602" w:wrap="around" w:vAnchor="page" w:hAnchor="page" w:x="1138" w:y="5286"/>
              <w:shd w:val="clear" w:color="auto" w:fill="auto"/>
              <w:spacing w:before="0" w:after="0"/>
              <w:jc w:val="both"/>
            </w:pPr>
            <w:r>
              <w:rPr>
                <w:rStyle w:val="ac"/>
              </w:rPr>
              <w:t>Мають високу фіскальну ефективність, оскільки база їх стягнення менш чутлива до коливань макроекономічної кон’юнктури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B0" w:rsidRDefault="00C346E1">
            <w:pPr>
              <w:pStyle w:val="a5"/>
              <w:framePr w:w="9662" w:h="5602" w:wrap="around" w:vAnchor="page" w:hAnchor="page" w:x="1138" w:y="5286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c"/>
              </w:rPr>
              <w:t>Не враховують платоспроможності окремих індивідів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62" w:h="5602" w:wrap="around" w:vAnchor="page" w:hAnchor="page" w:x="1138" w:y="5286"/>
              <w:shd w:val="clear" w:color="auto" w:fill="auto"/>
              <w:spacing w:before="0" w:after="0"/>
              <w:jc w:val="both"/>
            </w:pPr>
            <w:r>
              <w:rPr>
                <w:rStyle w:val="ac"/>
              </w:rPr>
              <w:t xml:space="preserve">Сприяють зменшенню тіньового сектору економіки, </w:t>
            </w:r>
            <w:r>
              <w:rPr>
                <w:rStyle w:val="ac"/>
              </w:rPr>
              <w:t>оскільки дозволяють оподатковувати ті доходи, які не потрапили до бази оподаткування прямих податків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B0" w:rsidRDefault="00C346E1">
            <w:pPr>
              <w:pStyle w:val="a5"/>
              <w:framePr w:w="9662" w:h="5602" w:wrap="around" w:vAnchor="page" w:hAnchor="page" w:x="1138" w:y="5286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c"/>
              </w:rPr>
              <w:t>Мають високу частку у доходах малозабезпечених верств населення (можуть вважатися джерелом соціальної несправедливості)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2B0" w:rsidRDefault="00C346E1">
            <w:pPr>
              <w:pStyle w:val="a5"/>
              <w:framePr w:w="9662" w:h="5602" w:wrap="around" w:vAnchor="page" w:hAnchor="page" w:x="1138" w:y="5286"/>
              <w:shd w:val="clear" w:color="auto" w:fill="auto"/>
              <w:spacing w:before="0" w:after="0"/>
              <w:jc w:val="both"/>
            </w:pPr>
            <w:r>
              <w:rPr>
                <w:rStyle w:val="ac"/>
              </w:rPr>
              <w:t xml:space="preserve">Можуть виступати як важіль </w:t>
            </w:r>
            <w:r>
              <w:rPr>
                <w:rStyle w:val="ac"/>
              </w:rPr>
              <w:t>стримування кризи надвиробництва та сприяти витісненню з ринку слабких не конкурентоздатних виробників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62" w:h="5602" w:wrap="around" w:vAnchor="page" w:hAnchor="page" w:x="1138" w:y="5286"/>
              <w:shd w:val="clear" w:color="auto" w:fill="auto"/>
              <w:spacing w:before="0" w:after="0"/>
              <w:jc w:val="both"/>
            </w:pPr>
            <w:r>
              <w:rPr>
                <w:rStyle w:val="ac"/>
              </w:rPr>
              <w:t>Виступають важелем обмеження споживання (за рахунок підвищення рівня цін), що в довготерміновій перспективі може призвести до скорочення обсягів виробниц</w:t>
            </w:r>
            <w:r>
              <w:rPr>
                <w:rStyle w:val="ac"/>
              </w:rPr>
              <w:t>тва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2B0" w:rsidRDefault="00DA52B0">
            <w:pPr>
              <w:framePr w:w="9662" w:h="5602" w:wrap="around" w:vAnchor="page" w:hAnchor="page" w:x="1138" w:y="5286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62" w:h="5602" w:wrap="around" w:vAnchor="page" w:hAnchor="page" w:x="1138" w:y="5286"/>
              <w:shd w:val="clear" w:color="auto" w:fill="auto"/>
              <w:spacing w:before="0" w:after="0"/>
              <w:jc w:val="both"/>
            </w:pPr>
            <w:r>
              <w:rPr>
                <w:rStyle w:val="ac"/>
              </w:rPr>
              <w:t>Функціонування механізму відшкодування непрямих податків породжує ризик зростання масштабів ухилення від оподаткування</w:t>
            </w:r>
          </w:p>
        </w:tc>
      </w:tr>
    </w:tbl>
    <w:p w:rsidR="00DA52B0" w:rsidRDefault="00C346E1">
      <w:pPr>
        <w:pStyle w:val="a5"/>
        <w:framePr w:w="9931" w:h="2261" w:hRule="exact" w:wrap="around" w:vAnchor="page" w:hAnchor="page" w:x="1004" w:y="11134"/>
        <w:shd w:val="clear" w:color="auto" w:fill="auto"/>
        <w:spacing w:before="0" w:after="0"/>
        <w:ind w:left="20" w:right="20" w:firstLine="560"/>
        <w:jc w:val="both"/>
      </w:pPr>
      <w:r>
        <w:t>Згідно національної термінології П</w:t>
      </w:r>
      <w:r>
        <w:rPr>
          <w:rStyle w:val="a8"/>
        </w:rPr>
        <w:t>ДВ</w:t>
      </w:r>
      <w:r>
        <w:t xml:space="preserve"> є формою універсального акцизу, який нараховується та сплачується на кожному етапі руху товарів від виробника до споживача (рис.</w:t>
      </w:r>
    </w:p>
    <w:p w:rsidR="00DA52B0" w:rsidRDefault="00C346E1">
      <w:pPr>
        <w:pStyle w:val="a5"/>
        <w:framePr w:w="9931" w:h="2261" w:hRule="exact" w:wrap="around" w:vAnchor="page" w:hAnchor="page" w:x="1004" w:y="11134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/>
        <w:ind w:left="20" w:right="20"/>
        <w:jc w:val="both"/>
      </w:pPr>
      <w:r>
        <w:t>. Характерною його рисою є те, що даний податок включається в ціну товару у вигляді надбавки, тому його кінцевими платниками в</w:t>
      </w:r>
      <w:r>
        <w:t>иступають споживачі, а розмір податку для окремого платника визначається величиною споживання і прямо не залежить від його доходів.</w:t>
      </w:r>
    </w:p>
    <w:p w:rsidR="00DA52B0" w:rsidRDefault="00C346E1">
      <w:pPr>
        <w:pStyle w:val="a5"/>
        <w:framePr w:w="9931" w:h="2261" w:hRule="exact" w:wrap="around" w:vAnchor="page" w:hAnchor="page" w:x="1004" w:y="11134"/>
        <w:shd w:val="clear" w:color="auto" w:fill="auto"/>
        <w:spacing w:before="0" w:after="0"/>
        <w:ind w:left="20" w:right="20" w:firstLine="560"/>
        <w:jc w:val="both"/>
      </w:pPr>
      <w:r>
        <w:t>ПДВ як непрямий податок належить до вбудованих стабілізаторів макроекономічного регулювання. Автоматичний («вбудований») ста</w:t>
      </w:r>
      <w:r>
        <w:t>білізатор - механізм, який дозволяє зменшити циклічні коливання в економіці без проведення спеціальної економічної політики</w:t>
      </w:r>
      <w:r>
        <w:rPr>
          <w:vertAlign w:val="superscript"/>
        </w:rPr>
        <w:t>3</w:t>
      </w:r>
      <w:r>
        <w:t>. Механізм дії</w:t>
      </w:r>
    </w:p>
    <w:p w:rsidR="00DA52B0" w:rsidRDefault="00C346E1">
      <w:pPr>
        <w:pStyle w:val="ae"/>
        <w:framePr w:w="9984" w:h="484" w:hRule="exact" w:wrap="around" w:vAnchor="page" w:hAnchor="page" w:x="980" w:y="13751"/>
        <w:shd w:val="clear" w:color="auto" w:fill="auto"/>
        <w:ind w:left="20" w:right="80"/>
      </w:pPr>
      <w:r>
        <w:rPr>
          <w:vertAlign w:val="superscript"/>
        </w:rPr>
        <w:t>1</w:t>
      </w:r>
      <w:r>
        <w:t xml:space="preserve"> Соколовська А.М. Основи теорії податків: навчальний посібник / А.М. Соколовська. - К.: Кондор, 2010. - С. </w:t>
      </w:r>
      <w:r>
        <w:rPr>
          <w:lang w:val="en-US" w:eastAsia="en-US" w:bidi="en-US"/>
        </w:rPr>
        <w:t>245</w:t>
      </w:r>
      <w:r>
        <w:rPr>
          <w:lang w:val="en-US" w:eastAsia="en-US" w:bidi="en-US"/>
        </w:rPr>
        <w:softHyphen/>
        <w:t>246.</w:t>
      </w:r>
    </w:p>
    <w:p w:rsidR="00DA52B0" w:rsidRDefault="00C346E1">
      <w:pPr>
        <w:pStyle w:val="ae"/>
        <w:framePr w:w="9984" w:h="455" w:hRule="exact" w:wrap="around" w:vAnchor="page" w:hAnchor="page" w:x="980" w:y="14241"/>
        <w:shd w:val="clear" w:color="auto" w:fill="auto"/>
      </w:pPr>
      <w:r>
        <w:rPr>
          <w:vertAlign w:val="superscript"/>
        </w:rPr>
        <w:t>2</w:t>
      </w:r>
      <w:r>
        <w:t xml:space="preserve"> Сотніченко О.А. Непрямі податки та їх участь у регулюванні товарообороту країни / О.А. Сотніченко // Інвестиції: практика та досвід. - 2012. - № 3. - С. 56.</w:t>
      </w:r>
    </w:p>
    <w:p w:rsidR="00DA52B0" w:rsidRDefault="00C346E1">
      <w:pPr>
        <w:pStyle w:val="ae"/>
        <w:framePr w:w="9984" w:h="484" w:hRule="exact" w:wrap="around" w:vAnchor="page" w:hAnchor="page" w:x="980" w:y="14697"/>
        <w:shd w:val="clear" w:color="auto" w:fill="auto"/>
        <w:ind w:right="20"/>
      </w:pPr>
      <w:r>
        <w:rPr>
          <w:vertAlign w:val="superscript"/>
        </w:rPr>
        <w:t>3</w:t>
      </w:r>
      <w:r>
        <w:t xml:space="preserve"> Мікроекономіка і макроекономіка: Підручник : у 2 ч. / С. Будаговська, О. Кілієвич, І. Луніна та</w:t>
      </w:r>
      <w:r>
        <w:t xml:space="preserve"> ін.; за заг. </w:t>
      </w:r>
      <w:r>
        <w:rPr>
          <w:lang w:val="ru-RU" w:eastAsia="ru-RU" w:bidi="ru-RU"/>
        </w:rPr>
        <w:t xml:space="preserve">ред. </w:t>
      </w:r>
      <w:r>
        <w:t>С. Будаговської. - К.: Основи, 1998. - С. 308.</w:t>
      </w:r>
    </w:p>
    <w:p w:rsidR="00DA52B0" w:rsidRDefault="00C346E1">
      <w:pPr>
        <w:pStyle w:val="a7"/>
        <w:framePr w:wrap="around" w:vAnchor="page" w:hAnchor="page" w:x="985" w:y="15618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>1818-2682. Наука молода, 2014 рік. № 21</w:t>
      </w:r>
    </w:p>
    <w:p w:rsidR="00DA52B0" w:rsidRDefault="00C346E1">
      <w:pPr>
        <w:pStyle w:val="a7"/>
        <w:framePr w:wrap="around" w:vAnchor="page" w:hAnchor="page" w:x="10623" w:y="15623"/>
        <w:shd w:val="clear" w:color="auto" w:fill="auto"/>
        <w:spacing w:line="170" w:lineRule="exact"/>
        <w:ind w:left="20"/>
      </w:pPr>
      <w:r>
        <w:t>123</w:t>
      </w:r>
    </w:p>
    <w:p w:rsidR="00DA52B0" w:rsidRDefault="00DA52B0">
      <w:pPr>
        <w:rPr>
          <w:sz w:val="2"/>
          <w:szCs w:val="2"/>
        </w:rPr>
        <w:sectPr w:rsidR="00DA52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52B0" w:rsidRDefault="00C346E1">
      <w:pPr>
        <w:pStyle w:val="a5"/>
        <w:framePr w:w="9931" w:h="2539" w:hRule="exact" w:wrap="around" w:vAnchor="page" w:hAnchor="page" w:x="1004" w:y="1217"/>
        <w:shd w:val="clear" w:color="auto" w:fill="auto"/>
        <w:spacing w:before="0" w:after="0"/>
        <w:ind w:left="20"/>
        <w:jc w:val="both"/>
      </w:pPr>
      <w:r>
        <w:lastRenderedPageBreak/>
        <w:t>П</w:t>
      </w:r>
      <w:r>
        <w:rPr>
          <w:rStyle w:val="a8"/>
        </w:rPr>
        <w:t>ДВ</w:t>
      </w:r>
      <w:r>
        <w:t xml:space="preserve"> як вбудованого стабілізатора є наступним: у фазі циклічного підйому загальний дохід зростає, а отже зростають і над</w:t>
      </w:r>
      <w:r>
        <w:t>ходження від ПДВ, податковий мультиплікатор зменшується та автоматично знижуються трансфертні платежі з бюджету. Як наслідок, скорочуються особисті доходи, видатки на споживання та сукупний попит в цілому, що стримує інфляцію та «перегрів» економіки. У фаз</w:t>
      </w:r>
      <w:r>
        <w:t>і циклічного спаду, навпаки, - сукупний дохід знижується, що призводить до автоматичного скорочення податкових надходжень від ПДВ, збільшення податкового мультиплікатора та зростання державних трансфертів приватному сектору. Зазначені процеси спричиняють з</w:t>
      </w:r>
      <w:r>
        <w:t>ростання сукупного попиту та виробництва, що обмежує глибину спаду економіки.</w:t>
      </w:r>
    </w:p>
    <w:p w:rsidR="00DA52B0" w:rsidRDefault="00C346E1">
      <w:pPr>
        <w:framePr w:wrap="none" w:vAnchor="page" w:hAnchor="page" w:x="1014" w:y="400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222pt">
            <v:imagedata r:id="rId7" r:href="rId8"/>
          </v:shape>
        </w:pict>
      </w:r>
    </w:p>
    <w:p w:rsidR="00DA52B0" w:rsidRDefault="00C346E1">
      <w:pPr>
        <w:pStyle w:val="af0"/>
        <w:framePr w:wrap="around" w:vAnchor="page" w:hAnchor="page" w:x="3169" w:y="8473"/>
        <w:shd w:val="clear" w:color="auto" w:fill="auto"/>
        <w:spacing w:line="210" w:lineRule="exact"/>
      </w:pPr>
      <w:r>
        <w:t>Рис. 1. Характерні риси податку на додану вартість</w:t>
      </w:r>
    </w:p>
    <w:p w:rsidR="00DA52B0" w:rsidRDefault="00C346E1">
      <w:pPr>
        <w:pStyle w:val="a5"/>
        <w:framePr w:w="9931" w:h="5847" w:hRule="exact" w:wrap="around" w:vAnchor="page" w:hAnchor="page" w:x="1004" w:y="8969"/>
        <w:shd w:val="clear" w:color="auto" w:fill="auto"/>
        <w:spacing w:before="0" w:after="0"/>
        <w:ind w:left="20" w:firstLine="560"/>
        <w:jc w:val="both"/>
      </w:pPr>
      <w:r>
        <w:t xml:space="preserve">На </w:t>
      </w:r>
      <w:r>
        <w:t>сьогодні серед науковців все ще відсутній єдиний підхід щодо найбільш оптимальної форми універсальних акцизів, серед яких, окрім ПДВ, можна виділити податок з обороту та податок з продажу. Так, прихильники скасування П</w:t>
      </w:r>
      <w:r>
        <w:rPr>
          <w:rStyle w:val="a8"/>
        </w:rPr>
        <w:t>ДВ</w:t>
      </w:r>
      <w:r>
        <w:t xml:space="preserve"> як одного із напрямів реформування </w:t>
      </w:r>
      <w:r>
        <w:t>податкової системи України посилаються на його недоліки, головним з яких є труднощі в адмініструванні, що породжує можливості для ухилення від сплати та створення незаконних схем його мінімізації. З метою виокремлення найбільш оптимального універсального а</w:t>
      </w:r>
      <w:r>
        <w:t>кцизу для сучасної економічної системи України проаналізуємо характерні риси кожного з них (табл. 2)</w:t>
      </w:r>
    </w:p>
    <w:p w:rsidR="00DA52B0" w:rsidRDefault="00C346E1">
      <w:pPr>
        <w:pStyle w:val="a5"/>
        <w:framePr w:w="9931" w:h="5847" w:hRule="exact" w:wrap="around" w:vAnchor="page" w:hAnchor="page" w:x="1004" w:y="8969"/>
        <w:shd w:val="clear" w:color="auto" w:fill="auto"/>
        <w:spacing w:before="0" w:after="0"/>
        <w:ind w:left="20" w:firstLine="560"/>
        <w:jc w:val="both"/>
      </w:pPr>
      <w:r>
        <w:t>Однією з найбільш суттєвих відмінностей податків з продажу, обороту та П</w:t>
      </w:r>
      <w:r>
        <w:rPr>
          <w:rStyle w:val="a8"/>
        </w:rPr>
        <w:t>ДВ</w:t>
      </w:r>
      <w:r>
        <w:t xml:space="preserve"> є приналежність першого з них до одностадійних, а наступних двох - до багатостад</w:t>
      </w:r>
      <w:r>
        <w:t>ійних податків. Це означає, що податок з продажу справляється лише на останньому етапі руху товарів, а отже - застосовується лише у сфері торгівлі (зазвичай роздрібної). Це, в свою чергу, надає суттєві переваги для виробничих підприємств, які не несуть под</w:t>
      </w:r>
      <w:r>
        <w:t>аткового тягаря, а отже мають у своєму розпорядженні додаткові фінансові ресурси для подальшого розширення виробництва та розвитку. Водночас податок з обороту породжує значний ступінь ризику недоотримання державою запланованих податкових надходжень, що нед</w:t>
      </w:r>
      <w:r>
        <w:t>опустимо за умов суттєвих кризових явищ у економіці держави. Також, даний податок може бути дієвим лише в економічній системі з високою податковою культурою, оскільки суттєве звуження бази оподаткування (порівняно з податком з обороту та ПДВ) спричиняє зна</w:t>
      </w:r>
      <w:r>
        <w:t>чне зменшення фіскального значення податку з продажу, а можливість ухилення від його сплати взагалі призведе до дуже вагомих втрат бюджету.</w:t>
      </w:r>
    </w:p>
    <w:p w:rsidR="00DA52B0" w:rsidRDefault="00C346E1">
      <w:pPr>
        <w:pStyle w:val="a7"/>
        <w:framePr w:wrap="around" w:vAnchor="page" w:hAnchor="page" w:x="1004" w:y="15666"/>
        <w:shd w:val="clear" w:color="auto" w:fill="auto"/>
        <w:spacing w:line="170" w:lineRule="exact"/>
        <w:ind w:left="20"/>
      </w:pPr>
      <w:r>
        <w:t>124</w:t>
      </w:r>
    </w:p>
    <w:p w:rsidR="00DA52B0" w:rsidRDefault="00DA52B0">
      <w:pPr>
        <w:rPr>
          <w:sz w:val="2"/>
          <w:szCs w:val="2"/>
        </w:rPr>
        <w:sectPr w:rsidR="00DA52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52B0" w:rsidRDefault="00C346E1">
      <w:pPr>
        <w:pStyle w:val="aa"/>
        <w:framePr w:wrap="around" w:vAnchor="page" w:hAnchor="page" w:x="9874" w:y="1182"/>
        <w:shd w:val="clear" w:color="auto" w:fill="auto"/>
        <w:spacing w:line="210" w:lineRule="exact"/>
        <w:jc w:val="left"/>
      </w:pPr>
      <w:r>
        <w:lastRenderedPageBreak/>
        <w:t>Таблиця 2</w:t>
      </w:r>
    </w:p>
    <w:p w:rsidR="00DA52B0" w:rsidRDefault="00C346E1">
      <w:pPr>
        <w:pStyle w:val="aa"/>
        <w:framePr w:wrap="around" w:vAnchor="page" w:hAnchor="page" w:x="3130" w:y="1455"/>
        <w:shd w:val="clear" w:color="auto" w:fill="auto"/>
        <w:spacing w:line="210" w:lineRule="exact"/>
        <w:jc w:val="left"/>
      </w:pPr>
      <w:r>
        <w:rPr>
          <w:rStyle w:val="ab"/>
          <w:b/>
          <w:bCs/>
        </w:rPr>
        <w:t>Переваги та недоліки окремих форм універсальних акцизів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2976"/>
        <w:gridCol w:w="2525"/>
        <w:gridCol w:w="2837"/>
      </w:tblGrid>
      <w:tr w:rsidR="00DA52B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7234" w:wrap="around" w:vAnchor="page" w:hAnchor="page" w:x="951" w:y="1700"/>
              <w:shd w:val="clear" w:color="auto" w:fill="auto"/>
              <w:spacing w:before="0" w:after="0"/>
              <w:ind w:left="140" w:firstLine="300"/>
              <w:jc w:val="left"/>
            </w:pPr>
            <w:r>
              <w:rPr>
                <w:rStyle w:val="ac"/>
              </w:rPr>
              <w:t>Форма універсаль</w:t>
            </w:r>
            <w:r>
              <w:rPr>
                <w:rStyle w:val="ac"/>
              </w:rPr>
              <w:softHyphen/>
              <w:t>ного ак</w:t>
            </w:r>
            <w:r>
              <w:rPr>
                <w:rStyle w:val="ac"/>
              </w:rPr>
              <w:t>цизу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7234" w:wrap="around" w:vAnchor="page" w:hAnchor="page" w:x="951" w:y="1700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Характерні риси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7234" w:wrap="around" w:vAnchor="page" w:hAnchor="page" w:x="951" w:y="1700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Переваги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7234" w:wrap="around" w:vAnchor="page" w:hAnchor="page" w:x="951" w:y="1700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Недоліки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7234" w:wrap="around" w:vAnchor="page" w:hAnchor="page" w:x="951" w:y="1700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ac"/>
              </w:rPr>
              <w:t>Податок з продажу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7234" w:wrap="around" w:vAnchor="page" w:hAnchor="page" w:x="951" w:y="1700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c"/>
              </w:rPr>
              <w:t>Одностадійний податок, що може накладатися на різних стадіях руху товару. Може виступати у формі податку з продажу виробників, оптових та роздрібних продаж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7234" w:wrap="around" w:vAnchor="page" w:hAnchor="page" w:x="951" w:y="1700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c"/>
              </w:rPr>
              <w:t xml:space="preserve">Звільняє від сплати податку виробничі </w:t>
            </w:r>
            <w:r>
              <w:rPr>
                <w:rStyle w:val="ac"/>
              </w:rPr>
              <w:t>підприємства, що створює додаткові підстави для їх розвитку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7234" w:wrap="around" w:vAnchor="page" w:hAnchor="page" w:x="951" w:y="1700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ac"/>
              </w:rPr>
              <w:t>Спричиняє значні втрати бюджету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7234" w:wrap="around" w:vAnchor="page" w:hAnchor="page" w:x="951" w:y="1700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ac"/>
              </w:rPr>
              <w:t>Податок з обороту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7234" w:wrap="around" w:vAnchor="page" w:hAnchor="page" w:x="951" w:y="1700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c"/>
              </w:rPr>
              <w:t>Застосовується на усіх стадіях руху товару від виробника до споживача. Нараховується на оборот, який містить вартість, додану не лише на даній, а</w:t>
            </w:r>
            <w:r>
              <w:rPr>
                <w:rStyle w:val="ac"/>
              </w:rPr>
              <w:t xml:space="preserve"> й на попередніх стадіях, що викликає кумулятивний ефект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7234" w:wrap="around" w:vAnchor="page" w:hAnchor="page" w:x="951" w:y="1700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c"/>
              </w:rPr>
              <w:t>Висока фіскальна значимість, простота адміністрування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7234" w:wrap="around" w:vAnchor="page" w:hAnchor="page" w:x="951" w:y="1700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c"/>
              </w:rPr>
              <w:t>Кумулятивний ефект та нерівномірний розподіл податкового тягаря. Негативний вплив на конкурентоспроможність вітчизняного експорту через відсутніс</w:t>
            </w:r>
            <w:r>
              <w:rPr>
                <w:rStyle w:val="ac"/>
              </w:rPr>
              <w:t>ть механізму</w:t>
            </w:r>
          </w:p>
          <w:p w:rsidR="00DA52B0" w:rsidRDefault="00C346E1">
            <w:pPr>
              <w:pStyle w:val="a5"/>
              <w:framePr w:w="9869" w:h="7234" w:wrap="around" w:vAnchor="page" w:hAnchor="page" w:x="951" w:y="1700"/>
              <w:shd w:val="clear" w:color="auto" w:fill="auto"/>
              <w:spacing w:before="0" w:after="0"/>
            </w:pPr>
            <w:r>
              <w:rPr>
                <w:rStyle w:val="ac"/>
              </w:rPr>
              <w:t>відшкодування податку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7234" w:wrap="around" w:vAnchor="page" w:hAnchor="page" w:x="951" w:y="170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af1"/>
              </w:rPr>
              <w:t>пдв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7234" w:wrap="around" w:vAnchor="page" w:hAnchor="page" w:x="951" w:y="1700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c"/>
              </w:rPr>
              <w:t>Стягується на усіх стадіях руху товарів; розмір податку кожного учасника залежить від того, наскільки він збільшив вартість спожитих матеріальних ресурсів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7234" w:wrap="around" w:vAnchor="page" w:hAnchor="page" w:x="951" w:y="1700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c"/>
              </w:rPr>
              <w:t xml:space="preserve">Відсутність кумулятивного ефекту, значний регулюючий </w:t>
            </w:r>
            <w:r>
              <w:rPr>
                <w:rStyle w:val="ac"/>
              </w:rPr>
              <w:t>потенціал та фіскальне значення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7234" w:wrap="around" w:vAnchor="page" w:hAnchor="page" w:x="951" w:y="1700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c"/>
              </w:rPr>
              <w:t>Технічна і організаційна складність стягнення ПДВ, соціальна несправедливі сть (основний тягар несуть малозабезпечені верстви населення)</w:t>
            </w:r>
          </w:p>
        </w:tc>
      </w:tr>
    </w:tbl>
    <w:p w:rsidR="00DA52B0" w:rsidRDefault="00C346E1">
      <w:pPr>
        <w:pStyle w:val="a5"/>
        <w:framePr w:w="10046" w:h="5317" w:hRule="exact" w:wrap="around" w:vAnchor="page" w:hAnchor="page" w:x="946" w:y="9176"/>
        <w:shd w:val="clear" w:color="auto" w:fill="auto"/>
        <w:spacing w:before="0" w:after="0"/>
        <w:ind w:left="120" w:firstLine="560"/>
        <w:jc w:val="both"/>
      </w:pPr>
      <w:r>
        <w:t xml:space="preserve">Податок з обороту справляється на кожному етапі руху товару від виробника до </w:t>
      </w:r>
      <w:r>
        <w:t>споживача. Внаслідок оподаткування всього валового обороту має місце кумулятивний ефект - нарахування податку на оборот, що містить вартість, додану не лише на даній стадії, а й на попередніх стадіях, яка вже обкладалася податком</w:t>
      </w:r>
      <w:r>
        <w:rPr>
          <w:vertAlign w:val="superscript"/>
        </w:rPr>
        <w:t>4</w:t>
      </w:r>
      <w:r>
        <w:t>. Розмір кумулятивного ефе</w:t>
      </w:r>
      <w:r>
        <w:t>кту буде залежати від кількості стадій виробничого процесу, а також від величини доданої вартості підприємств, які знаходяться на початкових стадіях виробництва. Крім того, даний податок породжує нерівномірність розподілу податкового тягаря між сировинними</w:t>
      </w:r>
      <w:r>
        <w:t xml:space="preserve"> підприємствами (несуть найменший податковий тягар) та виробниками кінцевої продукції (несуть максимальний податковий тягар). Кумулятивний ефект та нерівномірність розподілу податкового тягаря є суттєвими вадами податку з обороту, які порушують засади спра</w:t>
      </w:r>
      <w:r>
        <w:t>ведливості у конкурентній боротьбі, а отже - і принципи розвитку ринкової економіки.</w:t>
      </w:r>
    </w:p>
    <w:p w:rsidR="00DA52B0" w:rsidRDefault="00C346E1">
      <w:pPr>
        <w:pStyle w:val="a5"/>
        <w:framePr w:w="10046" w:h="5317" w:hRule="exact" w:wrap="around" w:vAnchor="page" w:hAnchor="page" w:x="946" w:y="9176"/>
        <w:shd w:val="clear" w:color="auto" w:fill="auto"/>
        <w:spacing w:before="0" w:after="0"/>
        <w:ind w:left="120" w:firstLine="560"/>
        <w:jc w:val="both"/>
      </w:pPr>
      <w:r>
        <w:t>Із вищезазначеного, можемо зробити висновок, що податок на додану вартість, на сьогодні, залишається найбільш прийнятною формою універсального акцизу в Україні. Він частко</w:t>
      </w:r>
      <w:r>
        <w:t xml:space="preserve">во усуває недоліки податку з продажу та податку з </w:t>
      </w:r>
      <w:r>
        <w:rPr>
          <w:lang w:val="ru-RU" w:eastAsia="ru-RU" w:bidi="ru-RU"/>
        </w:rPr>
        <w:t xml:space="preserve">обороту </w:t>
      </w:r>
      <w:r>
        <w:t xml:space="preserve">та одночасно поєднує їх позитивні характеристики. Так, у механізмі справляння даного податку відсутній кумулятивний ефект і, разом з тим, він має широку базу оподаткування та відіграє вагоме фіскальне значення у формуванні доходів бюджету. Також, </w:t>
      </w:r>
      <w:r>
        <w:rPr>
          <w:lang w:val="ru-RU" w:eastAsia="ru-RU" w:bidi="ru-RU"/>
        </w:rPr>
        <w:t xml:space="preserve">для </w:t>
      </w:r>
      <w:r>
        <w:t>подат</w:t>
      </w:r>
      <w:r>
        <w:t>ку на додану вартість характерні вбудовані механізми протидії ухиленню від оподаткування, а саме:</w:t>
      </w:r>
    </w:p>
    <w:p w:rsidR="00DA52B0" w:rsidRDefault="00C346E1">
      <w:pPr>
        <w:pStyle w:val="a5"/>
        <w:framePr w:w="10046" w:h="5317" w:hRule="exact" w:wrap="around" w:vAnchor="page" w:hAnchor="page" w:x="946" w:y="9176"/>
        <w:shd w:val="clear" w:color="auto" w:fill="auto"/>
        <w:spacing w:before="0" w:after="0" w:line="210" w:lineRule="exact"/>
        <w:ind w:left="120" w:firstLine="560"/>
        <w:jc w:val="both"/>
      </w:pPr>
      <w:r>
        <w:t>• обов’язковість документального супроводу як операцій з купівлі, так і з продажу;</w:t>
      </w:r>
    </w:p>
    <w:p w:rsidR="00DA52B0" w:rsidRDefault="00C346E1">
      <w:pPr>
        <w:pStyle w:val="ae"/>
        <w:framePr w:wrap="around" w:vAnchor="page" w:hAnchor="page" w:x="1042" w:y="14900"/>
        <w:shd w:val="clear" w:color="auto" w:fill="auto"/>
        <w:spacing w:line="170" w:lineRule="exact"/>
        <w:ind w:left="120"/>
        <w:jc w:val="left"/>
      </w:pPr>
      <w:r>
        <w:rPr>
          <w:vertAlign w:val="superscript"/>
        </w:rPr>
        <w:t>4</w:t>
      </w:r>
      <w:r>
        <w:t xml:space="preserve"> Соколовська А.М. Основи теорії податків: навчальний посібник / А.М. Соколовська. - К.: Кондор, 2010. - С. 272.</w:t>
      </w:r>
    </w:p>
    <w:p w:rsidR="00DA52B0" w:rsidRDefault="00C346E1">
      <w:pPr>
        <w:pStyle w:val="a7"/>
        <w:framePr w:wrap="around" w:vAnchor="page" w:hAnchor="page" w:x="1042" w:y="15618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>1818-2682. Наука молода, 2014 рік. № 21</w:t>
      </w:r>
    </w:p>
    <w:p w:rsidR="00DA52B0" w:rsidRDefault="00C346E1">
      <w:pPr>
        <w:pStyle w:val="a7"/>
        <w:framePr w:wrap="around" w:vAnchor="page" w:hAnchor="page" w:x="10681" w:y="15623"/>
        <w:shd w:val="clear" w:color="auto" w:fill="auto"/>
        <w:spacing w:line="170" w:lineRule="exact"/>
        <w:ind w:left="20"/>
      </w:pPr>
      <w:r>
        <w:t>125</w:t>
      </w:r>
    </w:p>
    <w:p w:rsidR="00DA52B0" w:rsidRDefault="00DA52B0">
      <w:pPr>
        <w:rPr>
          <w:sz w:val="2"/>
          <w:szCs w:val="2"/>
        </w:rPr>
        <w:sectPr w:rsidR="00DA52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52B0" w:rsidRDefault="00C346E1">
      <w:pPr>
        <w:pStyle w:val="a5"/>
        <w:framePr w:w="9936" w:h="3917" w:hRule="exact" w:wrap="around" w:vAnchor="page" w:hAnchor="page" w:x="1002" w:y="1236"/>
        <w:shd w:val="clear" w:color="auto" w:fill="auto"/>
        <w:spacing w:before="0" w:after="0"/>
        <w:ind w:left="20" w:right="20" w:firstLine="560"/>
        <w:jc w:val="both"/>
      </w:pPr>
      <w:r>
        <w:lastRenderedPageBreak/>
        <w:t>• при розрахунку суми П</w:t>
      </w:r>
      <w:r>
        <w:rPr>
          <w:rStyle w:val="a8"/>
        </w:rPr>
        <w:t>ДВ</w:t>
      </w:r>
      <w:r>
        <w:t>, платник зобов’язаний підтвердити право на пода</w:t>
      </w:r>
      <w:r>
        <w:t>тковий кредит відповідними документами.</w:t>
      </w:r>
    </w:p>
    <w:p w:rsidR="00DA52B0" w:rsidRDefault="00C346E1">
      <w:pPr>
        <w:pStyle w:val="a5"/>
        <w:framePr w:w="9936" w:h="3917" w:hRule="exact" w:wrap="around" w:vAnchor="page" w:hAnchor="page" w:x="1002" w:y="1236"/>
        <w:shd w:val="clear" w:color="auto" w:fill="auto"/>
        <w:spacing w:before="0" w:after="0"/>
        <w:ind w:left="20" w:right="20" w:firstLine="560"/>
        <w:jc w:val="both"/>
      </w:pPr>
      <w:r>
        <w:t>Отже, П</w:t>
      </w:r>
      <w:r>
        <w:rPr>
          <w:rStyle w:val="a8"/>
        </w:rPr>
        <w:t>ДВ</w:t>
      </w:r>
      <w:r>
        <w:t xml:space="preserve"> є найбільш прийнятною формою універсального акцизу, а проблеми його адміністрування, як зазначає професор Опарін В.М., в значній мірі обумовлені специфікою його використання в Україні</w:t>
      </w:r>
      <w:r>
        <w:rPr>
          <w:vertAlign w:val="superscript"/>
        </w:rPr>
        <w:t>5</w:t>
      </w:r>
      <w:r>
        <w:t>.</w:t>
      </w:r>
    </w:p>
    <w:p w:rsidR="00DA52B0" w:rsidRDefault="00C346E1">
      <w:pPr>
        <w:pStyle w:val="a5"/>
        <w:framePr w:w="9936" w:h="3917" w:hRule="exact" w:wrap="around" w:vAnchor="page" w:hAnchor="page" w:x="1002" w:y="1236"/>
        <w:shd w:val="clear" w:color="auto" w:fill="auto"/>
        <w:tabs>
          <w:tab w:val="right" w:pos="4522"/>
          <w:tab w:val="center" w:pos="5242"/>
          <w:tab w:val="right" w:pos="6836"/>
        </w:tabs>
        <w:spacing w:before="0" w:after="0"/>
        <w:ind w:left="20" w:right="20" w:firstLine="560"/>
        <w:jc w:val="both"/>
      </w:pPr>
      <w:r>
        <w:t xml:space="preserve">Вагомою підставою </w:t>
      </w:r>
      <w:r>
        <w:t>застосування ПДВ в Україні є його поширеність у країнах Європейського Союзу. На сьогодні П</w:t>
      </w:r>
      <w:r>
        <w:rPr>
          <w:rStyle w:val="a8"/>
        </w:rPr>
        <w:t>ДВ</w:t>
      </w:r>
      <w:r>
        <w:t xml:space="preserve"> вважається найбільш гармонізованим податком у ЄС за наступними елементами:</w:t>
      </w:r>
      <w:r>
        <w:tab/>
        <w:t>визначення</w:t>
      </w:r>
      <w:r>
        <w:tab/>
        <w:t>платників</w:t>
      </w:r>
      <w:r>
        <w:tab/>
        <w:t>податків; операцій, що підлягають</w:t>
      </w:r>
    </w:p>
    <w:p w:rsidR="00DA52B0" w:rsidRDefault="00C346E1">
      <w:pPr>
        <w:pStyle w:val="a5"/>
        <w:framePr w:w="9936" w:h="3917" w:hRule="exact" w:wrap="around" w:vAnchor="page" w:hAnchor="page" w:x="1002" w:y="1236"/>
        <w:shd w:val="clear" w:color="auto" w:fill="auto"/>
        <w:spacing w:before="0" w:after="0"/>
        <w:ind w:left="20" w:right="20"/>
        <w:jc w:val="both"/>
      </w:pPr>
      <w:r>
        <w:t>оподаткуванню; бази оподаткування</w:t>
      </w:r>
      <w:r>
        <w:t>; структури та рівня ставок; спільного переліку звільнень від ПДВ та ін.</w:t>
      </w:r>
    </w:p>
    <w:p w:rsidR="00DA52B0" w:rsidRDefault="00C346E1">
      <w:pPr>
        <w:pStyle w:val="a5"/>
        <w:framePr w:w="9936" w:h="3917" w:hRule="exact" w:wrap="around" w:vAnchor="page" w:hAnchor="page" w:x="1002" w:y="1236"/>
        <w:shd w:val="clear" w:color="auto" w:fill="auto"/>
        <w:spacing w:before="0" w:after="0"/>
        <w:ind w:left="20" w:right="20" w:firstLine="560"/>
        <w:jc w:val="both"/>
      </w:pPr>
      <w:r>
        <w:t>Згідно із Директивою Ради ЄС «Про спільну систему податку на додану вартість» принцип спільної системи ПДВ передбачає застосування до товарів та послуг загального податку на споживанн</w:t>
      </w:r>
      <w:r>
        <w:t>я, точно пропорційного ціні товарів і послуг, незалежно від числа операцій у рамках процесу виробництва та збуту до моменту нарахування податку (рис. 2).</w:t>
      </w:r>
      <w:r>
        <w:rPr>
          <w:vertAlign w:val="superscript"/>
        </w:rPr>
        <w:t>6</w:t>
      </w:r>
    </w:p>
    <w:p w:rsidR="00DA52B0" w:rsidRDefault="00C346E1">
      <w:pPr>
        <w:framePr w:wrap="none" w:vAnchor="page" w:hAnchor="page" w:x="1011" w:y="5401"/>
        <w:rPr>
          <w:sz w:val="2"/>
          <w:szCs w:val="2"/>
        </w:rPr>
      </w:pPr>
      <w:r>
        <w:pict>
          <v:shape id="_x0000_i1026" type="#_x0000_t75" style="width:441pt;height:378pt">
            <v:imagedata r:id="rId9" r:href="rId10"/>
          </v:shape>
        </w:pict>
      </w:r>
    </w:p>
    <w:p w:rsidR="00DA52B0" w:rsidRDefault="00C346E1">
      <w:pPr>
        <w:pStyle w:val="af0"/>
        <w:framePr w:wrap="around" w:vAnchor="page" w:hAnchor="page" w:x="3003" w:y="13268"/>
        <w:shd w:val="clear" w:color="auto" w:fill="auto"/>
        <w:spacing w:line="210" w:lineRule="exact"/>
      </w:pPr>
      <w:r>
        <w:t>Рис. 2. Основні характеристики спільної системи ПДВ</w:t>
      </w:r>
    </w:p>
    <w:p w:rsidR="00DA52B0" w:rsidRDefault="00C346E1">
      <w:pPr>
        <w:pStyle w:val="ae"/>
        <w:framePr w:w="9970" w:h="489" w:hRule="exact" w:wrap="around" w:vAnchor="page" w:hAnchor="page" w:x="982" w:y="13824"/>
        <w:shd w:val="clear" w:color="auto" w:fill="auto"/>
        <w:spacing w:line="230" w:lineRule="exact"/>
        <w:ind w:right="20"/>
      </w:pPr>
      <w:r>
        <w:rPr>
          <w:vertAlign w:val="superscript"/>
        </w:rPr>
        <w:t>5</w:t>
      </w:r>
      <w:r>
        <w:t xml:space="preserve"> </w:t>
      </w:r>
      <w:r>
        <w:rPr>
          <w:lang w:val="ru-RU" w:eastAsia="ru-RU" w:bidi="ru-RU"/>
        </w:rPr>
        <w:t xml:space="preserve">Опарин </w:t>
      </w:r>
      <w:r>
        <w:t xml:space="preserve">В.М. </w:t>
      </w:r>
      <w:r>
        <w:rPr>
          <w:lang w:val="ru-RU" w:eastAsia="ru-RU" w:bidi="ru-RU"/>
        </w:rPr>
        <w:t>Проблемы гармонизации налоговой системы Украины. Налогообложение: проблемы науки и практики: Монография. - Х.: ИД «ИНЖЭК», 2006. - С. 87.</w:t>
      </w:r>
    </w:p>
    <w:p w:rsidR="00DA52B0" w:rsidRDefault="00C346E1">
      <w:pPr>
        <w:pStyle w:val="ae"/>
        <w:framePr w:w="9970" w:h="725" w:hRule="exact" w:wrap="around" w:vAnchor="page" w:hAnchor="page" w:x="982" w:y="14322"/>
        <w:shd w:val="clear" w:color="auto" w:fill="auto"/>
        <w:spacing w:line="230" w:lineRule="exact"/>
        <w:ind w:left="20"/>
      </w:pPr>
      <w:r>
        <w:rPr>
          <w:vertAlign w:val="superscript"/>
          <w:lang w:val="ru-RU" w:eastAsia="ru-RU" w:bidi="ru-RU"/>
        </w:rPr>
        <w:t>6</w:t>
      </w:r>
      <w:r>
        <w:rPr>
          <w:lang w:val="ru-RU" w:eastAsia="ru-RU" w:bidi="ru-RU"/>
        </w:rPr>
        <w:t xml:space="preserve">Директива Ради </w:t>
      </w:r>
      <w:r>
        <w:t xml:space="preserve">2006/112/ЄС </w:t>
      </w:r>
      <w:r>
        <w:rPr>
          <w:lang w:val="ru-RU" w:eastAsia="ru-RU" w:bidi="ru-RU"/>
        </w:rPr>
        <w:t xml:space="preserve">про </w:t>
      </w:r>
      <w:r>
        <w:t xml:space="preserve">спільну </w:t>
      </w:r>
      <w:r>
        <w:rPr>
          <w:lang w:val="ru-RU" w:eastAsia="ru-RU" w:bidi="ru-RU"/>
        </w:rPr>
        <w:t xml:space="preserve">систему </w:t>
      </w:r>
      <w:r>
        <w:t xml:space="preserve">податку </w:t>
      </w:r>
      <w:r>
        <w:rPr>
          <w:lang w:val="ru-RU" w:eastAsia="ru-RU" w:bidi="ru-RU"/>
        </w:rPr>
        <w:t xml:space="preserve">на </w:t>
      </w:r>
      <w:r>
        <w:t xml:space="preserve">додану вартість </w:t>
      </w:r>
      <w:r>
        <w:rPr>
          <w:lang w:val="ru-RU" w:eastAsia="ru-RU" w:bidi="ru-RU"/>
        </w:rPr>
        <w:t xml:space="preserve">: </w:t>
      </w:r>
      <w:r>
        <w:t xml:space="preserve">Міжнародний </w:t>
      </w:r>
      <w:r>
        <w:rPr>
          <w:lang w:val="ru-RU" w:eastAsia="ru-RU" w:bidi="ru-RU"/>
        </w:rPr>
        <w:t xml:space="preserve">документ </w:t>
      </w:r>
      <w:r>
        <w:t>від</w:t>
      </w:r>
    </w:p>
    <w:p w:rsidR="00DA52B0" w:rsidRDefault="00C346E1">
      <w:pPr>
        <w:pStyle w:val="ae"/>
        <w:framePr w:w="9970" w:h="725" w:hRule="exact" w:wrap="around" w:vAnchor="page" w:hAnchor="page" w:x="982" w:y="14322"/>
        <w:numPr>
          <w:ilvl w:val="0"/>
          <w:numId w:val="2"/>
        </w:numPr>
        <w:shd w:val="clear" w:color="auto" w:fill="auto"/>
        <w:tabs>
          <w:tab w:val="left" w:pos="1004"/>
        </w:tabs>
        <w:spacing w:line="230" w:lineRule="exact"/>
        <w:ind w:left="20" w:right="20"/>
      </w:pPr>
      <w:r>
        <w:rPr>
          <w:lang w:val="ru-RU" w:eastAsia="ru-RU" w:bidi="ru-RU"/>
        </w:rPr>
        <w:t xml:space="preserve">№ </w:t>
      </w:r>
      <w:r>
        <w:t xml:space="preserve">2006/112/ЄС / Офіційний сайт Верховної Ради України [Електронний ресурс]. - Режим доступу: </w:t>
      </w:r>
      <w:hyperlink r:id="rId11" w:history="1">
        <w:r>
          <w:rPr>
            <w:rStyle w:val="a3"/>
            <w:lang w:val="en-US" w:eastAsia="en-US" w:bidi="en-US"/>
          </w:rPr>
          <w:t>http://zakon4.rada.gov.ua/laws/show/99</w:t>
        </w:r>
        <w:r>
          <w:rPr>
            <w:rStyle w:val="a3"/>
            <w:lang w:val="en-US" w:eastAsia="en-US" w:bidi="en-US"/>
          </w:rPr>
          <w:t>4_928</w:t>
        </w:r>
      </w:hyperlink>
    </w:p>
    <w:p w:rsidR="00DA52B0" w:rsidRDefault="00C346E1">
      <w:pPr>
        <w:pStyle w:val="a7"/>
        <w:framePr w:wrap="around" w:vAnchor="page" w:hAnchor="page" w:x="1002" w:y="15666"/>
        <w:shd w:val="clear" w:color="auto" w:fill="auto"/>
        <w:spacing w:line="170" w:lineRule="exact"/>
        <w:ind w:left="20"/>
      </w:pPr>
      <w:r>
        <w:t>126</w:t>
      </w:r>
    </w:p>
    <w:p w:rsidR="00DA52B0" w:rsidRDefault="00DA52B0">
      <w:pPr>
        <w:rPr>
          <w:sz w:val="2"/>
          <w:szCs w:val="2"/>
        </w:rPr>
        <w:sectPr w:rsidR="00DA52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52B0" w:rsidRDefault="00C346E1">
      <w:pPr>
        <w:pStyle w:val="a5"/>
        <w:framePr w:w="9941" w:h="4200" w:hRule="exact" w:wrap="around" w:vAnchor="page" w:hAnchor="page" w:x="999" w:y="1126"/>
        <w:shd w:val="clear" w:color="auto" w:fill="auto"/>
        <w:spacing w:before="0" w:after="0"/>
        <w:ind w:left="20" w:right="20" w:firstLine="560"/>
        <w:jc w:val="both"/>
      </w:pPr>
      <w:r>
        <w:rPr>
          <w:lang w:val="ru-RU" w:eastAsia="ru-RU" w:bidi="ru-RU"/>
        </w:rPr>
        <w:lastRenderedPageBreak/>
        <w:t xml:space="preserve">Найменш </w:t>
      </w:r>
      <w:r>
        <w:t xml:space="preserve">гармонізованими </w:t>
      </w:r>
      <w:r>
        <w:rPr>
          <w:lang w:val="ru-RU" w:eastAsia="ru-RU" w:bidi="ru-RU"/>
        </w:rPr>
        <w:t xml:space="preserve">у </w:t>
      </w:r>
      <w:r>
        <w:t xml:space="preserve">спільній системі </w:t>
      </w:r>
      <w:r>
        <w:rPr>
          <w:lang w:val="ru-RU" w:eastAsia="ru-RU" w:bidi="ru-RU"/>
        </w:rPr>
        <w:t xml:space="preserve">ПДВ </w:t>
      </w:r>
      <w:r>
        <w:t xml:space="preserve">Європейського </w:t>
      </w:r>
      <w:r>
        <w:rPr>
          <w:lang w:val="ru-RU" w:eastAsia="ru-RU" w:bidi="ru-RU"/>
        </w:rPr>
        <w:t xml:space="preserve">Союзу </w:t>
      </w:r>
      <w:r>
        <w:t>є податкові ставки та податкові пільги. Щодо ставок даного податку, то існує дилема необхідності використання поряд із основною, знижених ставок П</w:t>
      </w:r>
      <w:r>
        <w:rPr>
          <w:rStyle w:val="a8"/>
        </w:rPr>
        <w:t>ДВ</w:t>
      </w:r>
      <w:r>
        <w:t xml:space="preserve">, які </w:t>
      </w:r>
      <w:r>
        <w:t>застосовуються до так званих соціальних товарів та призначенні для часткового подолання нерівності у розподілі доходів і підвищення рівня соціальної справедливості.</w:t>
      </w:r>
    </w:p>
    <w:p w:rsidR="00DA52B0" w:rsidRDefault="00C346E1">
      <w:pPr>
        <w:pStyle w:val="a5"/>
        <w:framePr w:w="9941" w:h="4200" w:hRule="exact" w:wrap="around" w:vAnchor="page" w:hAnchor="page" w:x="999" w:y="1126"/>
        <w:shd w:val="clear" w:color="auto" w:fill="auto"/>
        <w:spacing w:before="0" w:after="0"/>
        <w:ind w:left="20" w:right="20" w:firstLine="560"/>
        <w:jc w:val="both"/>
      </w:pPr>
      <w:r>
        <w:t>Однак, окремі вітчизняні та зарубіжні вчені вважають перерозподільний потенціал застосуванн</w:t>
      </w:r>
      <w:r>
        <w:t>я знижених ставок незначним, а тому не визнають необхідності диференціації розміру даного податку. На думку Соколовської А.М. диференціація ставок П</w:t>
      </w:r>
      <w:r>
        <w:rPr>
          <w:rStyle w:val="a8"/>
        </w:rPr>
        <w:t>ДВ</w:t>
      </w:r>
      <w:r>
        <w:t xml:space="preserve"> негативно впливає на ефективність оподаткування, а застосування однієї ставки даного податку до усіх това</w:t>
      </w:r>
      <w:r>
        <w:t>рів та послуг (окрім тих, що експортуються) - сприяє зменшенню витрат на</w:t>
      </w:r>
    </w:p>
    <w:p w:rsidR="00DA52B0" w:rsidRDefault="00C346E1">
      <w:pPr>
        <w:pStyle w:val="a5"/>
        <w:framePr w:w="9941" w:h="4200" w:hRule="exact" w:wrap="around" w:vAnchor="page" w:hAnchor="page" w:x="999" w:y="1126"/>
        <w:shd w:val="clear" w:color="auto" w:fill="auto"/>
        <w:tabs>
          <w:tab w:val="right" w:pos="6165"/>
        </w:tabs>
        <w:spacing w:before="0" w:after="0" w:line="210" w:lineRule="exact"/>
        <w:ind w:left="400"/>
        <w:jc w:val="both"/>
      </w:pPr>
      <w:r>
        <w:t>• •</w:t>
      </w:r>
      <w:r>
        <w:tab/>
        <w:t>7</w:t>
      </w:r>
    </w:p>
    <w:p w:rsidR="00DA52B0" w:rsidRDefault="00C346E1">
      <w:pPr>
        <w:pStyle w:val="a5"/>
        <w:framePr w:w="9941" w:h="4200" w:hRule="exact" w:wrap="around" w:vAnchor="page" w:hAnchor="page" w:x="999" w:y="1126"/>
        <w:shd w:val="clear" w:color="auto" w:fill="auto"/>
        <w:spacing w:before="0" w:after="0"/>
        <w:ind w:left="20" w:right="20"/>
        <w:jc w:val="both"/>
      </w:pPr>
      <w:r>
        <w:t xml:space="preserve">адміністрування податку та можливостей його уникнення . </w:t>
      </w:r>
      <w:r>
        <w:rPr>
          <w:lang w:val="ru-RU" w:eastAsia="ru-RU" w:bidi="ru-RU"/>
        </w:rPr>
        <w:t xml:space="preserve">Кин М., Боден </w:t>
      </w:r>
      <w:r>
        <w:t xml:space="preserve">Ж-П. та Самерс В. стверджують, що навіть найкращим чином інформований уряд не може домогтися великих </w:t>
      </w:r>
      <w:r>
        <w:t>успіхів у перерозподілі доходів за допомогою диференціації ставок ПДВ</w:t>
      </w:r>
      <w:r>
        <w:rPr>
          <w:vertAlign w:val="superscript"/>
        </w:rPr>
        <w:t>8</w:t>
      </w:r>
      <w:r>
        <w:t>. Аналіз окремих наукових праць дозволив систематизувати переваги застосування єдиної ставки П</w:t>
      </w:r>
      <w:r>
        <w:rPr>
          <w:rStyle w:val="a8"/>
        </w:rPr>
        <w:t>ДВ</w:t>
      </w:r>
      <w:r>
        <w:t>, а також - диференціації його ставок (табл. 3).</w:t>
      </w:r>
    </w:p>
    <w:p w:rsidR="00DA52B0" w:rsidRDefault="00C346E1">
      <w:pPr>
        <w:pStyle w:val="aa"/>
        <w:framePr w:w="8146" w:h="567" w:hRule="exact" w:wrap="around" w:vAnchor="page" w:hAnchor="page" w:x="2780" w:y="5598"/>
        <w:shd w:val="clear" w:color="auto" w:fill="auto"/>
        <w:spacing w:line="210" w:lineRule="exact"/>
        <w:ind w:right="40"/>
      </w:pPr>
      <w:r>
        <w:t>Таблиця 3</w:t>
      </w:r>
    </w:p>
    <w:p w:rsidR="00DA52B0" w:rsidRDefault="00C346E1">
      <w:pPr>
        <w:pStyle w:val="aa"/>
        <w:framePr w:w="8146" w:h="567" w:hRule="exact" w:wrap="around" w:vAnchor="page" w:hAnchor="page" w:x="2780" w:y="5598"/>
        <w:shd w:val="clear" w:color="auto" w:fill="auto"/>
        <w:tabs>
          <w:tab w:val="left" w:leader="underscore" w:pos="8078"/>
        </w:tabs>
        <w:spacing w:line="210" w:lineRule="exact"/>
        <w:jc w:val="both"/>
      </w:pPr>
      <w:r>
        <w:rPr>
          <w:rStyle w:val="ab"/>
          <w:b/>
          <w:bCs/>
        </w:rPr>
        <w:t>Переваги застосування єдиної та</w:t>
      </w:r>
      <w:r>
        <w:rPr>
          <w:rStyle w:val="ab"/>
          <w:b/>
          <w:bCs/>
        </w:rPr>
        <w:t xml:space="preserve"> диференційованих ставок ПДВ</w:t>
      </w:r>
      <w:r>
        <w:rPr>
          <w:rStyle w:val="ab"/>
          <w:b/>
          <w:bCs/>
          <w:vertAlign w:val="superscript"/>
        </w:rPr>
        <w:t>9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24"/>
        <w:gridCol w:w="5645"/>
      </w:tblGrid>
      <w:tr w:rsidR="00DA52B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4483" w:wrap="around" w:vAnchor="page" w:hAnchor="page" w:x="1004" w:y="6116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Диференційовані ставки ПДВ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4483" w:wrap="around" w:vAnchor="page" w:hAnchor="page" w:x="1004" w:y="6116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Єдина ставка ПДВ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2B0" w:rsidRDefault="00C346E1">
            <w:pPr>
              <w:pStyle w:val="a5"/>
              <w:framePr w:w="9869" w:h="4483" w:wrap="around" w:vAnchor="page" w:hAnchor="page" w:x="1004" w:y="6116"/>
              <w:shd w:val="clear" w:color="auto" w:fill="auto"/>
              <w:spacing w:before="0" w:after="0"/>
              <w:jc w:val="both"/>
            </w:pPr>
            <w:r>
              <w:rPr>
                <w:rStyle w:val="ac"/>
              </w:rPr>
              <w:t xml:space="preserve">Для мінімізації дії ПДВ на структуру споживання необхідно оподатковувати за нижчою ставкою товари, попит на які має високу еластичність і за вищою ставкою товари - попит на які </w:t>
            </w:r>
            <w:r>
              <w:rPr>
                <w:rStyle w:val="ac"/>
              </w:rPr>
              <w:t>нееластичний.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4483" w:wrap="around" w:vAnchor="page" w:hAnchor="page" w:x="1004" w:y="6116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c"/>
              </w:rPr>
              <w:t>Використання єдиної ставки усуває складнощі адміністрування ПДВ та контролю за його сплатою.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52B0" w:rsidRDefault="00DA52B0">
            <w:pPr>
              <w:framePr w:w="9869" w:h="4483" w:wrap="around" w:vAnchor="page" w:hAnchor="page" w:x="1004" w:y="6116"/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4483" w:wrap="around" w:vAnchor="page" w:hAnchor="page" w:x="1004" w:y="6116"/>
              <w:shd w:val="clear" w:color="auto" w:fill="auto"/>
              <w:spacing w:before="0" w:after="0"/>
              <w:jc w:val="both"/>
            </w:pPr>
            <w:r>
              <w:rPr>
                <w:rStyle w:val="ac"/>
              </w:rPr>
              <w:t xml:space="preserve">Використання єдиної ставки усуває проблему віднесення товару до тієї чи іншої групи та, на цій основі, позбавляє можливості для ухилення від оподаткування, яка виникає </w:t>
            </w:r>
            <w:r>
              <w:rPr>
                <w:rStyle w:val="ac"/>
                <w:lang w:val="ru-RU" w:eastAsia="ru-RU" w:bidi="ru-RU"/>
              </w:rPr>
              <w:t xml:space="preserve">через </w:t>
            </w:r>
            <w:r>
              <w:rPr>
                <w:rStyle w:val="ac"/>
              </w:rPr>
              <w:t>навмисну невірну класифікацію при застосуванні множинних ставок.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2B0" w:rsidRDefault="00C346E1">
            <w:pPr>
              <w:pStyle w:val="a5"/>
              <w:framePr w:w="9869" w:h="4483" w:wrap="around" w:vAnchor="page" w:hAnchor="page" w:x="1004" w:y="6116"/>
              <w:shd w:val="clear" w:color="auto" w:fill="auto"/>
              <w:spacing w:before="0" w:after="0"/>
              <w:jc w:val="both"/>
            </w:pPr>
            <w:r>
              <w:rPr>
                <w:rStyle w:val="ac"/>
              </w:rPr>
              <w:t xml:space="preserve">З метою </w:t>
            </w:r>
            <w:r>
              <w:rPr>
                <w:rStyle w:val="ac"/>
              </w:rPr>
              <w:t>забезпечення соціальної справедливості доцільно до товарів першої необхідності, що складають велику частку у витратах бідних верств населення, застосовувати нижчу ставку ПДВ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4483" w:wrap="around" w:vAnchor="page" w:hAnchor="page" w:x="1004" w:y="6116"/>
              <w:shd w:val="clear" w:color="auto" w:fill="auto"/>
              <w:spacing w:before="0" w:after="0"/>
              <w:jc w:val="both"/>
            </w:pPr>
            <w:r>
              <w:rPr>
                <w:rStyle w:val="ac"/>
              </w:rPr>
              <w:t>Стягнення ПДВ за однією ставкою усуває необхідність окремого обліку платником опер</w:t>
            </w:r>
            <w:r>
              <w:rPr>
                <w:rStyle w:val="ac"/>
              </w:rPr>
              <w:t>ацій з купівлі та продажу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2B0" w:rsidRDefault="00DA52B0">
            <w:pPr>
              <w:framePr w:w="9869" w:h="4483" w:wrap="around" w:vAnchor="page" w:hAnchor="page" w:x="1004" w:y="6116"/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B0" w:rsidRDefault="00C346E1">
            <w:pPr>
              <w:pStyle w:val="a5"/>
              <w:framePr w:w="9869" w:h="4483" w:wrap="around" w:vAnchor="page" w:hAnchor="page" w:x="1004" w:y="6116"/>
              <w:shd w:val="clear" w:color="auto" w:fill="auto"/>
              <w:spacing w:before="0" w:after="0"/>
              <w:jc w:val="both"/>
            </w:pPr>
            <w:r>
              <w:rPr>
                <w:rStyle w:val="ac"/>
              </w:rPr>
              <w:t>Призводить до збільшення числа платників, що претендують на відшкодування ПДВ, оскільки податкові зобов’язання у них виникатимуть за зниженою ставкою, а податковий кредит - за повною.</w:t>
            </w:r>
          </w:p>
        </w:tc>
      </w:tr>
    </w:tbl>
    <w:p w:rsidR="00DA52B0" w:rsidRDefault="00C346E1">
      <w:pPr>
        <w:pStyle w:val="a5"/>
        <w:framePr w:w="9941" w:h="1162" w:hRule="exact" w:wrap="around" w:vAnchor="page" w:hAnchor="page" w:x="999" w:y="10841"/>
        <w:shd w:val="clear" w:color="auto" w:fill="auto"/>
        <w:spacing w:before="0" w:after="0"/>
        <w:ind w:left="20" w:right="20" w:firstLine="560"/>
        <w:jc w:val="both"/>
      </w:pPr>
      <w:r>
        <w:t xml:space="preserve">Більшістю країн-членів Європейського </w:t>
      </w:r>
      <w:r>
        <w:t xml:space="preserve">Співтовариства застосовуються як стандартні (повні) так і знижені ставки податку на додану вартість, причому стандартні ставки ПДВ змінюються від 16 до 25 % (табл. 4). Варто також зауважити, що в зазначених країнах диференційовані ставки застосовуються до </w:t>
      </w:r>
      <w:r>
        <w:t>тих товарів, які в Україні звільнені від сплати ПДВ.</w:t>
      </w:r>
    </w:p>
    <w:p w:rsidR="00DA52B0" w:rsidRDefault="00C346E1">
      <w:pPr>
        <w:pStyle w:val="ae"/>
        <w:framePr w:w="9984" w:h="254" w:hRule="exact" w:wrap="around" w:vAnchor="page" w:hAnchor="page" w:x="985" w:y="13751"/>
        <w:shd w:val="clear" w:color="auto" w:fill="auto"/>
        <w:ind w:left="20"/>
        <w:jc w:val="left"/>
      </w:pPr>
      <w:r>
        <w:rPr>
          <w:vertAlign w:val="superscript"/>
        </w:rPr>
        <w:t>7</w:t>
      </w:r>
      <w:r>
        <w:t xml:space="preserve"> Соколовська А.М. Основи теорії податків: навчальний посібник / А.М. Соколовська. - К.: Кондор, 2010. - С. 263.</w:t>
      </w:r>
    </w:p>
    <w:p w:rsidR="00DA52B0" w:rsidRDefault="00C346E1">
      <w:pPr>
        <w:pStyle w:val="ae"/>
        <w:framePr w:w="9984" w:h="225" w:hRule="exact" w:wrap="around" w:vAnchor="page" w:hAnchor="page" w:x="985" w:y="14010"/>
        <w:shd w:val="clear" w:color="auto" w:fill="auto"/>
        <w:ind w:left="20"/>
        <w:jc w:val="left"/>
      </w:pPr>
      <w:r>
        <w:rPr>
          <w:vertAlign w:val="superscript"/>
        </w:rPr>
        <w:t>8</w:t>
      </w:r>
      <w:r>
        <w:t xml:space="preserve"> </w:t>
      </w:r>
      <w:r>
        <w:rPr>
          <w:lang w:val="ru-RU" w:eastAsia="ru-RU" w:bidi="ru-RU"/>
        </w:rPr>
        <w:t xml:space="preserve">Современный НДС </w:t>
      </w:r>
      <w:r>
        <w:t xml:space="preserve">/ </w:t>
      </w:r>
      <w:r>
        <w:rPr>
          <w:lang w:val="ru-RU" w:eastAsia="ru-RU" w:bidi="ru-RU"/>
        </w:rPr>
        <w:t>Л. Эрбилл, М. Кин, Ж.-П. Боден, В. Саммерс; [пер. с англ.]. - М.: Весь</w:t>
      </w:r>
      <w:r>
        <w:rPr>
          <w:lang w:val="ru-RU" w:eastAsia="ru-RU" w:bidi="ru-RU"/>
        </w:rPr>
        <w:t xml:space="preserve"> Мир, 2003. - С. 91.</w:t>
      </w:r>
    </w:p>
    <w:p w:rsidR="00DA52B0" w:rsidRDefault="00C346E1">
      <w:pPr>
        <w:pStyle w:val="ae"/>
        <w:framePr w:w="9984" w:h="940" w:hRule="exact" w:wrap="around" w:vAnchor="page" w:hAnchor="page" w:x="985" w:y="14241"/>
        <w:shd w:val="clear" w:color="auto" w:fill="auto"/>
        <w:ind w:left="20"/>
      </w:pPr>
      <w:r>
        <w:rPr>
          <w:vertAlign w:val="superscript"/>
          <w:lang w:val="ru-RU" w:eastAsia="ru-RU" w:bidi="ru-RU"/>
        </w:rPr>
        <w:t>9</w:t>
      </w:r>
      <w:r>
        <w:rPr>
          <w:lang w:val="ru-RU" w:eastAsia="ru-RU" w:bidi="ru-RU"/>
        </w:rPr>
        <w:t xml:space="preserve"> </w:t>
      </w:r>
      <w:r>
        <w:t xml:space="preserve">Складено </w:t>
      </w:r>
      <w:r>
        <w:rPr>
          <w:lang w:val="ru-RU" w:eastAsia="ru-RU" w:bidi="ru-RU"/>
        </w:rPr>
        <w:t xml:space="preserve">за: Современный НДС / Л. Эрбилл, М. Кин, Ж.-П. Боден, В. Саммерс; [пер. с англ.]. - М.: Весь Мир, 2003. - 274 с.; Соколовська А.М. </w:t>
      </w:r>
      <w:r>
        <w:t xml:space="preserve">Основи теорії податків: навчальний посібник / А.М. Соколовська. - К.: Кондор, 2010. - С. 263.; Регулятивний потенціал податкової системи України: монографія / за заг. </w:t>
      </w:r>
      <w:r>
        <w:rPr>
          <w:lang w:val="ru-RU" w:eastAsia="ru-RU" w:bidi="ru-RU"/>
        </w:rPr>
        <w:t xml:space="preserve">ред. </w:t>
      </w:r>
      <w:r>
        <w:t>Ю.Б. Іванова. - Харків: ХНЕУ, 2009. - С. 81.</w:t>
      </w:r>
    </w:p>
    <w:p w:rsidR="00DA52B0" w:rsidRDefault="00C346E1">
      <w:pPr>
        <w:pStyle w:val="a7"/>
        <w:framePr w:wrap="around" w:vAnchor="page" w:hAnchor="page" w:x="990" w:y="15618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>1818-2682. Наука молода, 2014 рік.</w:t>
      </w:r>
      <w:r>
        <w:t xml:space="preserve"> № 21</w:t>
      </w:r>
    </w:p>
    <w:p w:rsidR="00DA52B0" w:rsidRDefault="00C346E1">
      <w:pPr>
        <w:pStyle w:val="a7"/>
        <w:framePr w:wrap="around" w:vAnchor="page" w:hAnchor="page" w:x="10628" w:y="15623"/>
        <w:shd w:val="clear" w:color="auto" w:fill="auto"/>
        <w:spacing w:line="170" w:lineRule="exact"/>
        <w:ind w:left="20"/>
      </w:pPr>
      <w:r>
        <w:t>127</w:t>
      </w:r>
    </w:p>
    <w:p w:rsidR="00DA52B0" w:rsidRDefault="00DA52B0">
      <w:pPr>
        <w:rPr>
          <w:sz w:val="2"/>
          <w:szCs w:val="2"/>
        </w:rPr>
        <w:sectPr w:rsidR="00DA52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52B0" w:rsidRDefault="00C346E1">
      <w:pPr>
        <w:pStyle w:val="aa"/>
        <w:framePr w:w="6878" w:h="547" w:hRule="exact" w:wrap="around" w:vAnchor="page" w:hAnchor="page" w:x="4042" w:y="1201"/>
        <w:shd w:val="clear" w:color="auto" w:fill="auto"/>
        <w:spacing w:line="210" w:lineRule="exact"/>
      </w:pPr>
      <w:r>
        <w:lastRenderedPageBreak/>
        <w:t>Таблиця 4</w:t>
      </w:r>
    </w:p>
    <w:p w:rsidR="00DA52B0" w:rsidRDefault="00C346E1">
      <w:pPr>
        <w:pStyle w:val="aa"/>
        <w:framePr w:w="6878" w:h="547" w:hRule="exact" w:wrap="around" w:vAnchor="page" w:hAnchor="page" w:x="4042" w:y="1201"/>
        <w:shd w:val="clear" w:color="auto" w:fill="auto"/>
        <w:tabs>
          <w:tab w:val="left" w:leader="underscore" w:pos="6619"/>
        </w:tabs>
        <w:spacing w:line="210" w:lineRule="exact"/>
        <w:jc w:val="both"/>
      </w:pPr>
      <w:r>
        <w:rPr>
          <w:rStyle w:val="ab"/>
          <w:b/>
          <w:bCs/>
        </w:rPr>
        <w:t>Ставки ПДВ в країнах-членах ЄС</w:t>
      </w:r>
      <w:r>
        <w:rPr>
          <w:rStyle w:val="ab"/>
          <w:b/>
          <w:bCs/>
          <w:vertAlign w:val="superscript"/>
        </w:rPr>
        <w:t>10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2"/>
        <w:gridCol w:w="1421"/>
        <w:gridCol w:w="1272"/>
        <w:gridCol w:w="1843"/>
        <w:gridCol w:w="1421"/>
        <w:gridCol w:w="1709"/>
      </w:tblGrid>
      <w:tr w:rsidR="00DA52B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Країна-член ЄС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Ставка ПДВ,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Країна-член ЄС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Ставка ПДВ, %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DA52B0">
            <w:pPr>
              <w:framePr w:w="9658" w:h="4613" w:wrap="around" w:vAnchor="page" w:hAnchor="page" w:x="1004" w:y="1719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Стандартна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Знижена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DA52B0">
            <w:pPr>
              <w:framePr w:w="9658" w:h="4613" w:wrap="around" w:vAnchor="page" w:hAnchor="page" w:x="1004" w:y="1719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Стандартна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Знижена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Австрія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10-12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Люксембург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12 або 3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Бельгія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12 або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Мальта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5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Болгарія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Нідерланди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6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В еликобр итанія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Польща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7 або 3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Венгрія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Португалія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12 або 5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Данія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170" w:lineRule="exact"/>
            </w:pPr>
            <w:r>
              <w:rPr>
                <w:rStyle w:val="85pt0pt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Румунія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9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Г ерманія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Словакія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10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Г реція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9 або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Словенія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8,5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Ірландія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13,5 або 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Фінляндія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17 або 8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Іспанія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7 або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Франція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19,6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5,5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Італія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10 або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Швеція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12 або 6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Республіка Кіпр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Чехія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10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Латвія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Естонія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5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Литва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0pt0"/>
              </w:rPr>
              <w:t>Середнє значення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210" w:lineRule="exact"/>
            </w:pPr>
            <w:r>
              <w:rPr>
                <w:rStyle w:val="0pt0"/>
              </w:rPr>
              <w:t>20,00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658" w:h="4613" w:wrap="around" w:vAnchor="page" w:hAnchor="page" w:x="1004" w:y="1719"/>
              <w:shd w:val="clear" w:color="auto" w:fill="auto"/>
              <w:spacing w:before="0" w:after="0" w:line="170" w:lineRule="exact"/>
            </w:pPr>
            <w:r>
              <w:rPr>
                <w:rStyle w:val="85pt0pt"/>
              </w:rPr>
              <w:t>—</w:t>
            </w:r>
          </w:p>
        </w:tc>
      </w:tr>
    </w:tbl>
    <w:p w:rsidR="00DA52B0" w:rsidRDefault="00C346E1">
      <w:pPr>
        <w:pStyle w:val="a5"/>
        <w:framePr w:w="9941" w:h="6437" w:hRule="exact" w:wrap="around" w:vAnchor="page" w:hAnchor="page" w:x="999" w:y="6579"/>
        <w:shd w:val="clear" w:color="auto" w:fill="auto"/>
        <w:spacing w:before="0" w:after="0"/>
        <w:ind w:left="20" w:right="20" w:firstLine="580"/>
        <w:jc w:val="both"/>
      </w:pPr>
      <w:r>
        <w:t xml:space="preserve">Сьогодні в Україні застосовується три ставки ПДВ: 20 %, 7% та 0 %. Варто </w:t>
      </w:r>
      <w:r>
        <w:t>зазначити, що протягом останніх років одним із пріоритетних напрямів реформування податкової системи України було зниження ставок основних бюджетоутворюючих податків, у тому числі і П</w:t>
      </w:r>
      <w:r>
        <w:rPr>
          <w:rStyle w:val="a8"/>
        </w:rPr>
        <w:t>ДВ</w:t>
      </w:r>
      <w:r>
        <w:t>. Так, згідно Податкового кодексу України з 1 січня 2014 року передбача</w:t>
      </w:r>
      <w:r>
        <w:t>лося зниження ставки П</w:t>
      </w:r>
      <w:r>
        <w:rPr>
          <w:rStyle w:val="a8"/>
        </w:rPr>
        <w:t>ДВ</w:t>
      </w:r>
      <w:r>
        <w:t xml:space="preserve"> із 20% до 17 %</w:t>
      </w:r>
      <w:r>
        <w:rPr>
          <w:vertAlign w:val="superscript"/>
        </w:rPr>
        <w:t>11</w:t>
      </w:r>
      <w:r>
        <w:t>. Однак, унаслідок кризових явищ в економіці та суттєвого дефіциту бюджету Законом України «Про запобігання фінансовій катастрофі та створення передумов для економічного зростання в Україні» ставка податку на додану</w:t>
      </w:r>
      <w:r>
        <w:t xml:space="preserve"> вартість була зафіксована на рівні 20 %. Також згаданим Законом з 1 квітня 2014 року запроваджено оподаткування лікарських засобів та виробів медичного призначення за ставкою 7%, замість звільнення таких операцій від оподаткування ПДВ. Зокрема, передбачен</w:t>
      </w:r>
      <w:r>
        <w:t>о оподаткування за ставкою 7% операцій з</w:t>
      </w:r>
      <w:r>
        <w:rPr>
          <w:vertAlign w:val="superscript"/>
        </w:rPr>
        <w:t>12</w:t>
      </w:r>
      <w:r>
        <w:t>:</w:t>
      </w:r>
    </w:p>
    <w:p w:rsidR="00DA52B0" w:rsidRDefault="00C346E1">
      <w:pPr>
        <w:pStyle w:val="a5"/>
        <w:framePr w:w="9941" w:h="6437" w:hRule="exact" w:wrap="around" w:vAnchor="page" w:hAnchor="page" w:x="999" w:y="6579"/>
        <w:numPr>
          <w:ilvl w:val="0"/>
          <w:numId w:val="3"/>
        </w:numPr>
        <w:shd w:val="clear" w:color="auto" w:fill="auto"/>
        <w:spacing w:before="0" w:after="0"/>
        <w:ind w:left="20" w:right="20" w:firstLine="580"/>
        <w:jc w:val="both"/>
      </w:pPr>
      <w:r>
        <w:t xml:space="preserve"> постачання на митній території України та ввезення на митну територію України лікарських засобів, дозволених </w:t>
      </w:r>
      <w:r>
        <w:rPr>
          <w:lang w:val="ru-RU" w:eastAsia="ru-RU" w:bidi="ru-RU"/>
        </w:rPr>
        <w:t xml:space="preserve">для </w:t>
      </w:r>
      <w:r>
        <w:t>виробництва і застосування в Україні та внесених до Державного реєстру лікарських засобів, а також</w:t>
      </w:r>
      <w:r>
        <w:t xml:space="preserve"> медичних виробів за переліком, затвердженим Кабінетом Міністрів України;</w:t>
      </w:r>
    </w:p>
    <w:p w:rsidR="00DA52B0" w:rsidRDefault="00C346E1">
      <w:pPr>
        <w:pStyle w:val="a5"/>
        <w:framePr w:w="9941" w:h="6437" w:hRule="exact" w:wrap="around" w:vAnchor="page" w:hAnchor="page" w:x="999" w:y="6579"/>
        <w:numPr>
          <w:ilvl w:val="0"/>
          <w:numId w:val="3"/>
        </w:numPr>
        <w:shd w:val="clear" w:color="auto" w:fill="auto"/>
        <w:spacing w:before="0" w:after="0"/>
        <w:ind w:left="20" w:right="20" w:firstLine="580"/>
        <w:jc w:val="both"/>
      </w:pPr>
      <w:r>
        <w:t xml:space="preserve"> постачання на митній території України та ввезення на митну територію України лікарських засобів, медичних виробів та/або медичного обладнання, дозволених для застосування у межах к</w:t>
      </w:r>
      <w:r>
        <w:t>лінічних випробувань, дозвіл на проведення яких надано центральним органом виконавчої влади, що забезпечує формування державної політики у сфері охорони здоров’я.</w:t>
      </w:r>
    </w:p>
    <w:p w:rsidR="00DA52B0" w:rsidRDefault="00C346E1">
      <w:pPr>
        <w:pStyle w:val="a5"/>
        <w:framePr w:w="9941" w:h="6437" w:hRule="exact" w:wrap="around" w:vAnchor="page" w:hAnchor="page" w:x="999" w:y="6579"/>
        <w:shd w:val="clear" w:color="auto" w:fill="auto"/>
        <w:spacing w:before="0" w:after="0"/>
        <w:ind w:left="20" w:right="20" w:firstLine="580"/>
        <w:jc w:val="both"/>
      </w:pPr>
      <w:r>
        <w:t>На нашу думку, основна мета введення П</w:t>
      </w:r>
      <w:r>
        <w:rPr>
          <w:rStyle w:val="a8"/>
        </w:rPr>
        <w:t>ДВ</w:t>
      </w:r>
      <w:r>
        <w:t xml:space="preserve"> на ліки - фіскальна, тобто створення додаткового дже</w:t>
      </w:r>
      <w:r>
        <w:t>рела доходів бюджету, разом з тим, експерти вважають, що оподаткування даної товарної категорії дозволить стабілізувати ціни на лікарські засоби та усунути можливість застосування окремих схем податкової оптимізації.</w:t>
      </w:r>
    </w:p>
    <w:p w:rsidR="00DA52B0" w:rsidRDefault="00C346E1">
      <w:pPr>
        <w:pStyle w:val="ae"/>
        <w:framePr w:w="9979" w:h="501" w:hRule="exact" w:wrap="around" w:vAnchor="page" w:hAnchor="page" w:x="980" w:y="13523"/>
        <w:shd w:val="clear" w:color="auto" w:fill="auto"/>
        <w:ind w:left="20" w:right="20"/>
      </w:pPr>
      <w:r>
        <w:rPr>
          <w:vertAlign w:val="superscript"/>
        </w:rPr>
        <w:t>10</w:t>
      </w:r>
      <w:r>
        <w:t xml:space="preserve"> </w:t>
      </w:r>
      <w:r>
        <w:rPr>
          <w:lang w:val="ru-RU" w:eastAsia="ru-RU" w:bidi="ru-RU"/>
        </w:rPr>
        <w:t xml:space="preserve">Пономаренко </w:t>
      </w:r>
      <w:r>
        <w:t xml:space="preserve">Д.В. </w:t>
      </w:r>
      <w:r>
        <w:rPr>
          <w:lang w:val="ru-RU" w:eastAsia="ru-RU" w:bidi="ru-RU"/>
        </w:rPr>
        <w:t xml:space="preserve">Сравнительный </w:t>
      </w:r>
      <w:r>
        <w:t>аналі</w:t>
      </w:r>
      <w:r>
        <w:t xml:space="preserve">з </w:t>
      </w:r>
      <w:r>
        <w:rPr>
          <w:lang w:val="ru-RU" w:eastAsia="ru-RU" w:bidi="ru-RU"/>
        </w:rPr>
        <w:t xml:space="preserve">налоговой политики Украины и Европейского Союза в сфере косвенного налогообложения / Д.В. Пономаренко // </w:t>
      </w:r>
      <w:r>
        <w:t xml:space="preserve">Вісник економічної </w:t>
      </w:r>
      <w:r>
        <w:rPr>
          <w:lang w:val="ru-RU" w:eastAsia="ru-RU" w:bidi="ru-RU"/>
        </w:rPr>
        <w:t xml:space="preserve">науки </w:t>
      </w:r>
      <w:r>
        <w:t xml:space="preserve">України. </w:t>
      </w:r>
      <w:r>
        <w:rPr>
          <w:lang w:val="ru-RU" w:eastAsia="ru-RU" w:bidi="ru-RU"/>
        </w:rPr>
        <w:t>- 2011. - № 1 (19). - С. 127.</w:t>
      </w:r>
    </w:p>
    <w:p w:rsidR="00DA52B0" w:rsidRDefault="00C346E1">
      <w:pPr>
        <w:pStyle w:val="ae"/>
        <w:framePr w:w="9979" w:h="455" w:hRule="exact" w:wrap="around" w:vAnchor="page" w:hAnchor="page" w:x="980" w:y="14029"/>
        <w:shd w:val="clear" w:color="auto" w:fill="auto"/>
        <w:ind w:left="20" w:right="20"/>
      </w:pPr>
      <w:r>
        <w:rPr>
          <w:vertAlign w:val="superscript"/>
          <w:lang w:val="ru-RU" w:eastAsia="ru-RU" w:bidi="ru-RU"/>
        </w:rPr>
        <w:t>11</w:t>
      </w:r>
      <w:r>
        <w:rPr>
          <w:lang w:val="ru-RU" w:eastAsia="ru-RU" w:bidi="ru-RU"/>
        </w:rPr>
        <w:t xml:space="preserve"> </w:t>
      </w:r>
      <w:r>
        <w:t xml:space="preserve">Податковий </w:t>
      </w:r>
      <w:r>
        <w:rPr>
          <w:lang w:val="ru-RU" w:eastAsia="ru-RU" w:bidi="ru-RU"/>
        </w:rPr>
        <w:t xml:space="preserve">кодекс </w:t>
      </w:r>
      <w:r>
        <w:t xml:space="preserve">України від </w:t>
      </w:r>
      <w:r>
        <w:rPr>
          <w:lang w:val="ru-RU" w:eastAsia="ru-RU" w:bidi="ru-RU"/>
        </w:rPr>
        <w:t xml:space="preserve">02.12.2010 № </w:t>
      </w:r>
      <w:r>
        <w:t>2755-УІ / Офіційний сайт Верховної Ради</w:t>
      </w:r>
      <w:r>
        <w:t xml:space="preserve"> України [Електронний ресурс]. - Режим доступу: </w:t>
      </w:r>
      <w:hyperlink r:id="rId12" w:history="1">
        <w:r>
          <w:rPr>
            <w:rStyle w:val="a3"/>
            <w:lang w:val="en-US" w:eastAsia="en-US" w:bidi="en-US"/>
          </w:rPr>
          <w:t>http://zakon2.rada.gov.ua/laws/show/2755-17</w:t>
        </w:r>
      </w:hyperlink>
    </w:p>
    <w:p w:rsidR="00DA52B0" w:rsidRDefault="00C346E1">
      <w:pPr>
        <w:pStyle w:val="ae"/>
        <w:framePr w:w="9979" w:h="715" w:hRule="exact" w:wrap="around" w:vAnchor="page" w:hAnchor="page" w:x="980" w:y="14485"/>
        <w:shd w:val="clear" w:color="auto" w:fill="auto"/>
        <w:ind w:left="20" w:right="300"/>
        <w:jc w:val="left"/>
      </w:pPr>
      <w:r>
        <w:rPr>
          <w:vertAlign w:val="superscript"/>
        </w:rPr>
        <w:t>12</w:t>
      </w:r>
      <w:r>
        <w:t xml:space="preserve"> Закон України «Про запобігання фінансовій катастрофі та створення передумов для економічного зростання </w:t>
      </w:r>
      <w:r>
        <w:t xml:space="preserve">в Україні» від 27.03.2014 № 1166-УІІ (редакція від 19.04.2014 р.) /Офіційний сайт Верховної Ради України [Електронний ресурс]. - Режим доступу: </w:t>
      </w:r>
      <w:hyperlink r:id="rId13" w:history="1">
        <w:r>
          <w:rPr>
            <w:rStyle w:val="a3"/>
            <w:lang w:val="en-US" w:eastAsia="en-US" w:bidi="en-US"/>
          </w:rPr>
          <w:t>http://zakon2.rada.gov.Ua/laws/show/1</w:t>
        </w:r>
        <w:r>
          <w:rPr>
            <w:rStyle w:val="a3"/>
          </w:rPr>
          <w:t>166-18</w:t>
        </w:r>
      </w:hyperlink>
    </w:p>
    <w:p w:rsidR="00DA52B0" w:rsidRDefault="00C346E1">
      <w:pPr>
        <w:pStyle w:val="a7"/>
        <w:framePr w:wrap="around" w:vAnchor="page" w:hAnchor="page" w:x="1004" w:y="15594"/>
        <w:shd w:val="clear" w:color="auto" w:fill="auto"/>
        <w:spacing w:line="170" w:lineRule="exact"/>
        <w:ind w:left="20"/>
      </w:pPr>
      <w:r>
        <w:t>128</w:t>
      </w:r>
    </w:p>
    <w:p w:rsidR="00DA52B0" w:rsidRDefault="00DA52B0">
      <w:pPr>
        <w:rPr>
          <w:sz w:val="2"/>
          <w:szCs w:val="2"/>
        </w:rPr>
        <w:sectPr w:rsidR="00DA52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52B0" w:rsidRDefault="00DA52B0">
      <w:pPr>
        <w:rPr>
          <w:sz w:val="2"/>
          <w:szCs w:val="2"/>
        </w:rPr>
      </w:pPr>
      <w:r w:rsidRPr="00DA52B0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16.25pt;margin-top:504.25pt;width:342pt;height:0;z-index:-251666944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 w:rsidRPr="00DA52B0">
        <w:pict>
          <v:shape id="_x0000_s1044" type="#_x0000_t32" style="position:absolute;margin-left:292.9pt;margin-top:519.1pt;width:60.75pt;height:0;z-index:-25166592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DA52B0">
        <w:pict>
          <v:shape id="_x0000_s1043" type="#_x0000_t32" style="position:absolute;margin-left:390.6pt;margin-top:519.1pt;width:37.65pt;height:0;z-index:-25166489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DA52B0">
        <w:pict>
          <v:shape id="_x0000_s1042" type="#_x0000_t32" style="position:absolute;margin-left:457.8pt;margin-top:519.1pt;width:52.55pt;height:0;z-index:-25166387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DA52B0">
        <w:pict>
          <v:shape id="_x0000_s1041" type="#_x0000_t32" style="position:absolute;margin-left:226.9pt;margin-top:519.1pt;width:36.25pt;height:0;z-index:-25166284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DA52B0">
        <w:pict>
          <v:shape id="_x0000_s1040" type="#_x0000_t32" style="position:absolute;margin-left:146.75pt;margin-top:519.1pt;width:42.7pt;height:0;z-index:-25166182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DA52B0">
        <w:pict>
          <v:shape id="_x0000_s1039" type="#_x0000_t32" style="position:absolute;margin-left:59.65pt;margin-top:519.1pt;width:57.35pt;height:0;z-index:-25166080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DA52B0">
        <w:pict>
          <v:shape id="_x0000_s1038" type="#_x0000_t32" style="position:absolute;margin-left:418.2pt;margin-top:521.3pt;width:48pt;height:0;z-index:-2516597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DA52B0">
        <w:pict>
          <v:shape id="_x0000_s1037" type="#_x0000_t32" style="position:absolute;margin-left:253.3pt;margin-top:521.3pt;width:48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DA52B0">
        <w:pict>
          <v:shape id="_x0000_s1036" type="#_x0000_t32" style="position:absolute;margin-left:106.9pt;margin-top:521.3pt;width:48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DA52B0">
        <w:pict>
          <v:shape id="_x0000_s1035" type="#_x0000_t32" style="position:absolute;margin-left:390.1pt;margin-top:636.95pt;width:120.75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DA52B0">
        <w:pict>
          <v:shape id="_x0000_s1034" type="#_x0000_t32" style="position:absolute;margin-left:59.4pt;margin-top:641.5pt;width:130.55pt;height:0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DA52B0">
        <w:pict>
          <v:shape id="_x0000_s1033" type="#_x0000_t32" style="position:absolute;margin-left:226.45pt;margin-top:641.5pt;width:127.65pt;height:0;z-index:-2516546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DA52B0">
        <w:pict>
          <v:shape id="_x0000_s1032" type="#_x0000_t32" style="position:absolute;margin-left:204.85pt;margin-top:533.75pt;width:0;height:92.15pt;z-index:-25165363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DA52B0">
        <w:pict>
          <v:shape id="_x0000_s1031" type="#_x0000_t32" style="position:absolute;margin-left:212.5pt;margin-top:533.3pt;width:0;height:93.1pt;z-index:-25165260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DA52B0">
        <w:pict>
          <v:shape id="_x0000_s1030" type="#_x0000_t32" style="position:absolute;margin-left:369pt;margin-top:533.3pt;width:0;height:93.1pt;z-index:-25165158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DA52B0">
        <w:pict>
          <v:shape id="_x0000_s1029" type="#_x0000_t32" style="position:absolute;margin-left:376.9pt;margin-top:532.3pt;width:0;height:90.75pt;z-index:-25165056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A52B0" w:rsidRDefault="00C346E1">
      <w:pPr>
        <w:pStyle w:val="a5"/>
        <w:framePr w:w="9931" w:h="9040" w:hRule="exact" w:wrap="around" w:vAnchor="page" w:hAnchor="page" w:x="891" w:y="1107"/>
        <w:shd w:val="clear" w:color="auto" w:fill="auto"/>
        <w:spacing w:before="0" w:after="0"/>
        <w:ind w:left="20" w:right="20" w:firstLine="560"/>
        <w:jc w:val="both"/>
      </w:pPr>
      <w:r>
        <w:t>Нульова ставка П</w:t>
      </w:r>
      <w:r>
        <w:rPr>
          <w:rStyle w:val="a8"/>
        </w:rPr>
        <w:t>ДВ</w:t>
      </w:r>
      <w:r>
        <w:t xml:space="preserve"> застосовується до експорту товарів і послуг, є частиною механізму стягування даного податку та застосовується з метою уникнення подвійного оподаткування товарів при здійсненні зовнішньоторговельних операцій. Вона передбачає відсутність податкового зобов’я</w:t>
      </w:r>
      <w:r>
        <w:t>зання та можливість відшкодування «вхідного» П</w:t>
      </w:r>
      <w:r>
        <w:rPr>
          <w:rStyle w:val="a8"/>
        </w:rPr>
        <w:t>ДВ</w:t>
      </w:r>
      <w:r>
        <w:t>. Застосування цієї ставки саме до експорту здійснюється в межах принципу «оподаткування за країною споживання», згідно якого товари та послуги оподатковуються ПДВ у країні імпорту.</w:t>
      </w:r>
    </w:p>
    <w:p w:rsidR="00DA52B0" w:rsidRDefault="00C346E1">
      <w:pPr>
        <w:pStyle w:val="a5"/>
        <w:framePr w:w="9931" w:h="9040" w:hRule="exact" w:wrap="around" w:vAnchor="page" w:hAnchor="page" w:x="891" w:y="1107"/>
        <w:shd w:val="clear" w:color="auto" w:fill="auto"/>
        <w:spacing w:before="0" w:after="0"/>
        <w:ind w:left="20" w:right="20" w:firstLine="560"/>
        <w:jc w:val="both"/>
      </w:pPr>
      <w:r>
        <w:t>Важливим чинником, що впли</w:t>
      </w:r>
      <w:r>
        <w:t>ває на показники реалізації регулюючого та фіскального потенціалу податку на додану вартість, є рівень використання податкових пільг. Національне законодавство передбачає два види пільг з П</w:t>
      </w:r>
      <w:r>
        <w:rPr>
          <w:rStyle w:val="a8"/>
        </w:rPr>
        <w:t>ДВ</w:t>
      </w:r>
      <w:r>
        <w:t>: операції, що не є об’єктом оподаткування П</w:t>
      </w:r>
      <w:r>
        <w:rPr>
          <w:rStyle w:val="a8"/>
        </w:rPr>
        <w:t>ДВ</w:t>
      </w:r>
      <w:r>
        <w:t xml:space="preserve"> та операції, які з</w:t>
      </w:r>
      <w:r>
        <w:t>вільняються від оподаткування П</w:t>
      </w:r>
      <w:r>
        <w:rPr>
          <w:rStyle w:val="a8"/>
        </w:rPr>
        <w:t>ДВ</w:t>
      </w:r>
      <w:r>
        <w:t>. До переліку операцій, що не є об’єктами оподаткування П</w:t>
      </w:r>
      <w:r>
        <w:rPr>
          <w:rStyle w:val="a8"/>
        </w:rPr>
        <w:t>ДВ</w:t>
      </w:r>
      <w:r>
        <w:t>, перш за все, належать фінансові послуги, оскільки для останніх досить складно визначити величину доданої вартості. Необґрунтованість оподаткування фінансових опер</w:t>
      </w:r>
      <w:r>
        <w:t>ацій універсальним акцизом доводить і професор Й.Ланг стверджуючи, що «податком на додану вартість обкладається споживання, а не фінансування споживання за допомогою</w:t>
      </w:r>
    </w:p>
    <w:p w:rsidR="00DA52B0" w:rsidRDefault="00C346E1">
      <w:pPr>
        <w:pStyle w:val="a5"/>
        <w:framePr w:w="9931" w:h="9040" w:hRule="exact" w:wrap="around" w:vAnchor="page" w:hAnchor="page" w:x="891" w:y="1107"/>
        <w:shd w:val="clear" w:color="auto" w:fill="auto"/>
        <w:tabs>
          <w:tab w:val="right" w:pos="7262"/>
        </w:tabs>
        <w:spacing w:before="0" w:after="0" w:line="210" w:lineRule="exact"/>
        <w:ind w:left="3240"/>
        <w:jc w:val="both"/>
      </w:pPr>
      <w:r>
        <w:t>13</w:t>
      </w:r>
      <w:r>
        <w:tab/>
        <w:t>...</w:t>
      </w:r>
    </w:p>
    <w:p w:rsidR="00DA52B0" w:rsidRDefault="00C346E1">
      <w:pPr>
        <w:pStyle w:val="a5"/>
        <w:framePr w:w="9931" w:h="9040" w:hRule="exact" w:wrap="around" w:vAnchor="page" w:hAnchor="page" w:x="891" w:y="1107"/>
        <w:shd w:val="clear" w:color="auto" w:fill="auto"/>
        <w:spacing w:before="0" w:after="0"/>
        <w:ind w:left="20" w:right="20"/>
        <w:jc w:val="both"/>
      </w:pPr>
      <w:r>
        <w:t xml:space="preserve">платіжних коштів та кредитів» . Друга група пільг з ПДВ звільняє від оподаткування </w:t>
      </w:r>
      <w:r>
        <w:t>операції із соціально значимими товарами та послуги соціального характеру, для прикладу: постачання продуктів дитячого харчування, освітніх послуг, послуг з охорони здоров’я, ритуальних послуг, об’єктів житлового фонду, благодійної допомоги тощо.</w:t>
      </w:r>
    </w:p>
    <w:p w:rsidR="00DA52B0" w:rsidRDefault="00C346E1">
      <w:pPr>
        <w:pStyle w:val="a5"/>
        <w:framePr w:w="9931" w:h="9040" w:hRule="exact" w:wrap="around" w:vAnchor="page" w:hAnchor="page" w:x="891" w:y="1107"/>
        <w:shd w:val="clear" w:color="auto" w:fill="auto"/>
        <w:spacing w:before="0" w:after="0"/>
        <w:ind w:left="20" w:right="20" w:firstLine="560"/>
        <w:jc w:val="both"/>
      </w:pPr>
      <w:r>
        <w:t>Зауважимо</w:t>
      </w:r>
      <w:r>
        <w:t>, що пільги з П</w:t>
      </w:r>
      <w:r>
        <w:rPr>
          <w:rStyle w:val="a8"/>
        </w:rPr>
        <w:t>ДВ</w:t>
      </w:r>
      <w:r>
        <w:t>, які надаються в Україні практично уніфіковано із пільгами, які застосовуються країнами Європейського Союзу. Так, згідно 112 Директиви Ради ЄС можуть застосовуватися звільнення від ПДВ без відшкодування сум ПДВ, сплачених на попередніх ет</w:t>
      </w:r>
      <w:r>
        <w:t>апах руху товарів і послуг, або із відшкодуванням таких сум податку</w:t>
      </w:r>
      <w:r>
        <w:rPr>
          <w:vertAlign w:val="superscript"/>
        </w:rPr>
        <w:t>14</w:t>
      </w:r>
      <w:r>
        <w:t>. Основним критерієм звільнення від оподаткування ПДВ є приналежність певних видів діяльності до найбільш суспільно значимих (постачання державних поштових послуг, послуг соціального захи</w:t>
      </w:r>
      <w:r>
        <w:t>сту та соціального забезпечення, постачання послуг неприбутковим організаціям тощо).</w:t>
      </w:r>
    </w:p>
    <w:p w:rsidR="00DA52B0" w:rsidRDefault="00C346E1">
      <w:pPr>
        <w:pStyle w:val="a5"/>
        <w:framePr w:w="9931" w:h="9040" w:hRule="exact" w:wrap="around" w:vAnchor="page" w:hAnchor="page" w:x="891" w:y="1107"/>
        <w:shd w:val="clear" w:color="auto" w:fill="auto"/>
        <w:spacing w:before="0" w:after="0"/>
        <w:ind w:left="20" w:right="20" w:firstLine="560"/>
        <w:jc w:val="both"/>
      </w:pPr>
      <w:r>
        <w:t xml:space="preserve">Спірним моментом у механізмі адміністрування податку на додану вартість є застосування методу визначення умов та факту виникнення податкового зобов’язання. З цією метою у </w:t>
      </w:r>
      <w:r>
        <w:t>міжнародній практиці використовується три методи: нарахувань, касовий та гібридний (рис. 3)</w:t>
      </w:r>
    </w:p>
    <w:p w:rsidR="00DA52B0" w:rsidRDefault="00C346E1">
      <w:pPr>
        <w:pStyle w:val="40"/>
        <w:framePr w:w="9931" w:h="9040" w:hRule="exact" w:wrap="around" w:vAnchor="page" w:hAnchor="page" w:x="891" w:y="1107"/>
        <w:shd w:val="clear" w:color="auto" w:fill="auto"/>
        <w:spacing w:line="210" w:lineRule="exact"/>
        <w:ind w:left="2040"/>
        <w:jc w:val="left"/>
      </w:pPr>
      <w:r>
        <w:t>ґ</w:t>
      </w:r>
    </w:p>
    <w:p w:rsidR="00DA52B0" w:rsidRDefault="00C346E1">
      <w:pPr>
        <w:pStyle w:val="10"/>
        <w:framePr w:w="9931" w:h="9040" w:hRule="exact" w:wrap="around" w:vAnchor="page" w:hAnchor="page" w:x="891" w:y="1107"/>
        <w:shd w:val="clear" w:color="auto" w:fill="auto"/>
        <w:ind w:left="740"/>
      </w:pPr>
      <w:bookmarkStart w:id="2" w:name="bookmark2"/>
      <w:r>
        <w:t>Методи визначення умов та факту виникнення податкового зобов ’язання</w:t>
      </w:r>
      <w:bookmarkEnd w:id="2"/>
    </w:p>
    <w:p w:rsidR="00DA52B0" w:rsidRDefault="00C346E1">
      <w:pPr>
        <w:pStyle w:val="a5"/>
        <w:framePr w:w="9931" w:h="9040" w:hRule="exact" w:wrap="around" w:vAnchor="page" w:hAnchor="page" w:x="891" w:y="1107"/>
        <w:shd w:val="clear" w:color="auto" w:fill="auto"/>
        <w:spacing w:before="0" w:after="0" w:line="210" w:lineRule="exact"/>
        <w:ind w:left="740"/>
      </w:pPr>
      <w:r>
        <w:t>І</w:t>
      </w:r>
    </w:p>
    <w:p w:rsidR="00DA52B0" w:rsidRDefault="00C346E1">
      <w:pPr>
        <w:pStyle w:val="10"/>
        <w:framePr w:w="2554" w:h="2159" w:hRule="exact" w:wrap="around" w:vAnchor="page" w:hAnchor="page" w:x="1222" w:y="10525"/>
        <w:shd w:val="clear" w:color="auto" w:fill="auto"/>
      </w:pPr>
      <w:bookmarkStart w:id="3" w:name="bookmark3"/>
      <w:r>
        <w:t>Мет оди н арахуван ь:</w:t>
      </w:r>
      <w:bookmarkEnd w:id="3"/>
    </w:p>
    <w:p w:rsidR="00DA52B0" w:rsidRDefault="00C346E1">
      <w:pPr>
        <w:pStyle w:val="40"/>
        <w:framePr w:w="2554" w:h="2159" w:hRule="exact" w:wrap="around" w:vAnchor="page" w:hAnchor="page" w:x="1222" w:y="10525"/>
        <w:shd w:val="clear" w:color="auto" w:fill="auto"/>
        <w:spacing w:line="298" w:lineRule="exact"/>
        <w:jc w:val="center"/>
      </w:pPr>
      <w:r>
        <w:t xml:space="preserve">податкове зобов ’язання виникає у момент, коли відбувається </w:t>
      </w:r>
      <w:r>
        <w:t>постачання товарів або послуг</w:t>
      </w:r>
    </w:p>
    <w:p w:rsidR="00DA52B0" w:rsidRDefault="00C346E1">
      <w:pPr>
        <w:pStyle w:val="10"/>
        <w:framePr w:w="2573" w:h="1856" w:hRule="exact" w:wrap="around" w:vAnchor="page" w:hAnchor="page" w:x="4525" w:y="10535"/>
        <w:shd w:val="clear" w:color="auto" w:fill="auto"/>
      </w:pPr>
      <w:bookmarkStart w:id="4" w:name="bookmark4"/>
      <w:r>
        <w:t>Касовий метод:</w:t>
      </w:r>
      <w:bookmarkEnd w:id="4"/>
    </w:p>
    <w:p w:rsidR="00DA52B0" w:rsidRDefault="00C346E1">
      <w:pPr>
        <w:pStyle w:val="40"/>
        <w:framePr w:w="2573" w:h="1856" w:hRule="exact" w:wrap="around" w:vAnchor="page" w:hAnchor="page" w:x="4525" w:y="10535"/>
        <w:shd w:val="clear" w:color="auto" w:fill="auto"/>
        <w:spacing w:line="298" w:lineRule="exact"/>
        <w:jc w:val="center"/>
      </w:pPr>
      <w:r>
        <w:t>виникнення податкового зобов ’язання пов ’язане з оплатою товарів або послуг</w:t>
      </w:r>
    </w:p>
    <w:p w:rsidR="00DA52B0" w:rsidRDefault="00C346E1">
      <w:pPr>
        <w:pStyle w:val="10"/>
        <w:framePr w:w="2443" w:h="1559" w:hRule="exact" w:wrap="around" w:vAnchor="page" w:hAnchor="page" w:x="7794" w:y="10525"/>
        <w:shd w:val="clear" w:color="auto" w:fill="auto"/>
      </w:pPr>
      <w:bookmarkStart w:id="5" w:name="bookmark5"/>
      <w:r>
        <w:t>Гібридний метод:</w:t>
      </w:r>
      <w:bookmarkEnd w:id="5"/>
    </w:p>
    <w:p w:rsidR="00DA52B0" w:rsidRDefault="00C346E1">
      <w:pPr>
        <w:pStyle w:val="40"/>
        <w:framePr w:w="2443" w:h="1559" w:hRule="exact" w:wrap="around" w:vAnchor="page" w:hAnchor="page" w:x="7794" w:y="10525"/>
        <w:shd w:val="clear" w:color="auto" w:fill="auto"/>
        <w:spacing w:line="298" w:lineRule="exact"/>
        <w:jc w:val="center"/>
      </w:pPr>
      <w:r>
        <w:t>передбачає одночасне застосування методу нарахувань та касового методу</w:t>
      </w:r>
    </w:p>
    <w:p w:rsidR="00DA52B0" w:rsidRDefault="00C346E1">
      <w:pPr>
        <w:pStyle w:val="20"/>
        <w:framePr w:w="10152" w:h="543" w:hRule="exact" w:wrap="around" w:vAnchor="page" w:hAnchor="page" w:x="896" w:y="12874"/>
        <w:shd w:val="clear" w:color="auto" w:fill="auto"/>
        <w:spacing w:after="18" w:line="210" w:lineRule="exact"/>
        <w:ind w:left="80"/>
        <w:jc w:val="center"/>
      </w:pPr>
      <w:r>
        <w:t xml:space="preserve">Рис. 3. Методи визначення умов та факту </w:t>
      </w:r>
      <w:r>
        <w:t>виникнення податкового зобов’язання згідно із</w:t>
      </w:r>
    </w:p>
    <w:p w:rsidR="00DA52B0" w:rsidRDefault="00C346E1">
      <w:pPr>
        <w:pStyle w:val="20"/>
        <w:framePr w:w="10152" w:h="543" w:hRule="exact" w:wrap="around" w:vAnchor="page" w:hAnchor="page" w:x="896" w:y="12874"/>
        <w:shd w:val="clear" w:color="auto" w:fill="auto"/>
        <w:spacing w:after="0" w:line="210" w:lineRule="exact"/>
        <w:ind w:left="80"/>
        <w:jc w:val="center"/>
      </w:pPr>
      <w:r>
        <w:t>міжнародною практикою</w:t>
      </w:r>
    </w:p>
    <w:p w:rsidR="00DA52B0" w:rsidRDefault="00C346E1">
      <w:pPr>
        <w:pStyle w:val="ae"/>
        <w:framePr w:w="9974" w:h="484" w:hRule="exact" w:wrap="around" w:vAnchor="page" w:hAnchor="page" w:x="867" w:y="13981"/>
        <w:shd w:val="clear" w:color="auto" w:fill="auto"/>
        <w:ind w:right="240"/>
      </w:pPr>
      <w:r>
        <w:rPr>
          <w:vertAlign w:val="superscript"/>
        </w:rPr>
        <w:t>13</w:t>
      </w:r>
      <w:r>
        <w:t xml:space="preserve"> </w:t>
      </w:r>
      <w:r>
        <w:rPr>
          <w:lang w:val="ru-RU" w:eastAsia="ru-RU" w:bidi="ru-RU"/>
        </w:rPr>
        <w:t xml:space="preserve">Ланг </w:t>
      </w:r>
      <w:r>
        <w:t xml:space="preserve">Й. Проект </w:t>
      </w:r>
      <w:r>
        <w:rPr>
          <w:lang w:val="ru-RU" w:eastAsia="ru-RU" w:bidi="ru-RU"/>
        </w:rPr>
        <w:t xml:space="preserve">кодекса налоговых законов </w:t>
      </w:r>
      <w:r>
        <w:t xml:space="preserve">для </w:t>
      </w:r>
      <w:r>
        <w:rPr>
          <w:lang w:val="ru-RU" w:eastAsia="ru-RU" w:bidi="ru-RU"/>
        </w:rPr>
        <w:t>государств Центральной и Восточной Европы / Федеральное министерство финансов ФРГ. - Бонн, 1993. - С. 208.</w:t>
      </w:r>
    </w:p>
    <w:p w:rsidR="00DA52B0" w:rsidRDefault="00C346E1">
      <w:pPr>
        <w:pStyle w:val="ae"/>
        <w:framePr w:w="9974" w:h="715" w:hRule="exact" w:wrap="around" w:vAnchor="page" w:hAnchor="page" w:x="867" w:y="14466"/>
        <w:shd w:val="clear" w:color="auto" w:fill="auto"/>
        <w:jc w:val="left"/>
      </w:pPr>
      <w:r>
        <w:rPr>
          <w:vertAlign w:val="superscript"/>
          <w:lang w:val="ru-RU" w:eastAsia="ru-RU" w:bidi="ru-RU"/>
        </w:rPr>
        <w:t>14</w:t>
      </w:r>
      <w:r>
        <w:rPr>
          <w:lang w:val="ru-RU" w:eastAsia="ru-RU" w:bidi="ru-RU"/>
        </w:rPr>
        <w:t xml:space="preserve"> Директива Ради 2006/1</w:t>
      </w:r>
      <w:r>
        <w:t xml:space="preserve">12/ЄС </w:t>
      </w:r>
      <w:r>
        <w:rPr>
          <w:lang w:val="ru-RU" w:eastAsia="ru-RU" w:bidi="ru-RU"/>
        </w:rPr>
        <w:t>про</w:t>
      </w:r>
      <w:r>
        <w:rPr>
          <w:lang w:val="ru-RU" w:eastAsia="ru-RU" w:bidi="ru-RU"/>
        </w:rPr>
        <w:t xml:space="preserve"> </w:t>
      </w:r>
      <w:r>
        <w:t xml:space="preserve">спільну </w:t>
      </w:r>
      <w:r>
        <w:rPr>
          <w:lang w:val="ru-RU" w:eastAsia="ru-RU" w:bidi="ru-RU"/>
        </w:rPr>
        <w:t xml:space="preserve">систему </w:t>
      </w:r>
      <w:r>
        <w:t xml:space="preserve">податку </w:t>
      </w:r>
      <w:r>
        <w:rPr>
          <w:lang w:val="ru-RU" w:eastAsia="ru-RU" w:bidi="ru-RU"/>
        </w:rPr>
        <w:t xml:space="preserve">на </w:t>
      </w:r>
      <w:r>
        <w:t xml:space="preserve">додану вартість </w:t>
      </w:r>
      <w:r>
        <w:rPr>
          <w:lang w:val="ru-RU" w:eastAsia="ru-RU" w:bidi="ru-RU"/>
        </w:rPr>
        <w:t xml:space="preserve">: </w:t>
      </w:r>
      <w:r>
        <w:t xml:space="preserve">Міжнародний </w:t>
      </w:r>
      <w:r>
        <w:rPr>
          <w:lang w:val="ru-RU" w:eastAsia="ru-RU" w:bidi="ru-RU"/>
        </w:rPr>
        <w:t xml:space="preserve">документ </w:t>
      </w:r>
      <w:r>
        <w:t>від</w:t>
      </w:r>
    </w:p>
    <w:p w:rsidR="00DA52B0" w:rsidRDefault="00C346E1">
      <w:pPr>
        <w:pStyle w:val="ae"/>
        <w:framePr w:w="9974" w:h="715" w:hRule="exact" w:wrap="around" w:vAnchor="page" w:hAnchor="page" w:x="867" w:y="14466"/>
        <w:numPr>
          <w:ilvl w:val="0"/>
          <w:numId w:val="4"/>
        </w:numPr>
        <w:shd w:val="clear" w:color="auto" w:fill="auto"/>
        <w:tabs>
          <w:tab w:val="left" w:pos="989"/>
        </w:tabs>
        <w:ind w:right="240"/>
        <w:jc w:val="left"/>
      </w:pPr>
      <w:r>
        <w:rPr>
          <w:lang w:val="ru-RU" w:eastAsia="ru-RU" w:bidi="ru-RU"/>
        </w:rPr>
        <w:t>№ 2006/1</w:t>
      </w:r>
      <w:r>
        <w:t xml:space="preserve">12/ЄС / Офіційний сайт Верховної Ради України [Електронний ресурс]. - Режим доступу: </w:t>
      </w:r>
      <w:hyperlink r:id="rId14" w:history="1">
        <w:r>
          <w:rPr>
            <w:rStyle w:val="a3"/>
            <w:lang w:val="en-US" w:eastAsia="en-US" w:bidi="en-US"/>
          </w:rPr>
          <w:t>http://zakon4.rada.gov.ua/laws/show/994_92S</w:t>
        </w:r>
      </w:hyperlink>
    </w:p>
    <w:p w:rsidR="00DA52B0" w:rsidRDefault="00C346E1">
      <w:pPr>
        <w:pStyle w:val="a7"/>
        <w:framePr w:wrap="around" w:vAnchor="page" w:hAnchor="page" w:x="872" w:y="15618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>1818-2682. Наука молода, 2014 рік. № 21</w:t>
      </w:r>
    </w:p>
    <w:p w:rsidR="00DA52B0" w:rsidRDefault="00C346E1">
      <w:pPr>
        <w:pStyle w:val="a7"/>
        <w:framePr w:wrap="around" w:vAnchor="page" w:hAnchor="page" w:x="10510" w:y="15623"/>
        <w:shd w:val="clear" w:color="auto" w:fill="auto"/>
        <w:spacing w:line="170" w:lineRule="exact"/>
        <w:ind w:left="20"/>
      </w:pPr>
      <w:r>
        <w:t>129</w:t>
      </w:r>
    </w:p>
    <w:p w:rsidR="00DA52B0" w:rsidRDefault="00DA52B0">
      <w:pPr>
        <w:rPr>
          <w:sz w:val="2"/>
          <w:szCs w:val="2"/>
        </w:rPr>
        <w:sectPr w:rsidR="00DA52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52B0" w:rsidRDefault="00C346E1">
      <w:pPr>
        <w:pStyle w:val="a5"/>
        <w:framePr w:w="9936" w:h="12202" w:hRule="exact" w:wrap="around" w:vAnchor="page" w:hAnchor="page" w:x="1004" w:y="1145"/>
        <w:shd w:val="clear" w:color="auto" w:fill="auto"/>
        <w:spacing w:before="0" w:after="0"/>
        <w:ind w:left="20" w:right="20" w:firstLine="560"/>
        <w:jc w:val="both"/>
      </w:pPr>
      <w:r>
        <w:lastRenderedPageBreak/>
        <w:t>У більшості європейських країн у процесі нарахування податку на додану вартість використовується касовий метод, оскільки саме він є найбіл</w:t>
      </w:r>
      <w:r>
        <w:t>ьш адекватним щодо сутності даного податку та має ряд наступних переваг: створює передумови для своєчасного здійснення платежів, полегшує роботу податкових органів, сприяє підвищенню культури партнерських взаємовідносин суб’єктів господарювання. Однак, вар</w:t>
      </w:r>
      <w:r>
        <w:t>то зауважити, що фіскальний ефект від даного методу є дещо нижчим, аніж від методу нарахувань.</w:t>
      </w:r>
    </w:p>
    <w:p w:rsidR="00DA52B0" w:rsidRDefault="00C346E1">
      <w:pPr>
        <w:pStyle w:val="a5"/>
        <w:framePr w:w="9936" w:h="12202" w:hRule="exact" w:wrap="around" w:vAnchor="page" w:hAnchor="page" w:x="1004" w:y="1145"/>
        <w:shd w:val="clear" w:color="auto" w:fill="auto"/>
        <w:spacing w:before="0" w:after="0"/>
        <w:ind w:left="20" w:right="20" w:firstLine="560"/>
        <w:jc w:val="both"/>
      </w:pPr>
      <w:r>
        <w:t>Окремі автори</w:t>
      </w:r>
      <w:r>
        <w:rPr>
          <w:vertAlign w:val="superscript"/>
        </w:rPr>
        <w:t>15</w:t>
      </w:r>
      <w:r>
        <w:t xml:space="preserve">, обґрунтовують переваги методу нарахувань, акцентуючи увагу на необхідності уніфікації первинних документів бухгалтерського обліку з документами </w:t>
      </w:r>
      <w:r>
        <w:t>податкового обліку (податковою накладною) та створенні передумов для спрощення форми та порядку податкової звітності з П</w:t>
      </w:r>
      <w:r>
        <w:rPr>
          <w:rStyle w:val="a8"/>
        </w:rPr>
        <w:t>ДВ</w:t>
      </w:r>
      <w:r>
        <w:t>.</w:t>
      </w:r>
    </w:p>
    <w:p w:rsidR="00DA52B0" w:rsidRDefault="00C346E1">
      <w:pPr>
        <w:pStyle w:val="a5"/>
        <w:framePr w:w="9936" w:h="12202" w:hRule="exact" w:wrap="around" w:vAnchor="page" w:hAnchor="page" w:x="1004" w:y="1145"/>
        <w:shd w:val="clear" w:color="auto" w:fill="auto"/>
        <w:spacing w:before="0" w:after="0"/>
        <w:ind w:left="20" w:right="20" w:firstLine="560"/>
        <w:jc w:val="both"/>
      </w:pPr>
      <w:r>
        <w:t>В Україні при нарахуванні П</w:t>
      </w:r>
      <w:r>
        <w:rPr>
          <w:rStyle w:val="a8"/>
        </w:rPr>
        <w:t>ДВ</w:t>
      </w:r>
      <w:r>
        <w:t xml:space="preserve"> використовується «метод першої події», тобто моментом виникнення податкового зобов’язання визнається о</w:t>
      </w:r>
      <w:r>
        <w:t>дна з двох подій, що сталася раніше - здійснення платежу або факт відвантаження товарів чи надання послуг. Застосування даного методу спрямоване виключно на виконання фіскальних завдань, тобто наповнення доходної частини державного бюджету. З точки зору пл</w:t>
      </w:r>
      <w:r>
        <w:t xml:space="preserve">атників податків, правило «першої події» є невигідним та неефективним, оскільки спричиняє «вимивання» обігових коштів підприємств, створюючи додатковий податковий тиск на платників. Тому, вважаємо за доцільне замінити метод «першої події» касовим методом, </w:t>
      </w:r>
      <w:r>
        <w:t>який збалансує інтереси держави та платників податків.</w:t>
      </w:r>
    </w:p>
    <w:p w:rsidR="00DA52B0" w:rsidRDefault="00C346E1">
      <w:pPr>
        <w:pStyle w:val="a5"/>
        <w:framePr w:w="9936" w:h="12202" w:hRule="exact" w:wrap="around" w:vAnchor="page" w:hAnchor="page" w:x="1004" w:y="1145"/>
        <w:shd w:val="clear" w:color="auto" w:fill="auto"/>
        <w:spacing w:before="0" w:after="0"/>
        <w:ind w:left="20" w:right="20" w:firstLine="560"/>
        <w:jc w:val="both"/>
      </w:pPr>
      <w:r>
        <w:t>На сьогодні, найбільшою проблемою у процесі адміністрування П</w:t>
      </w:r>
      <w:r>
        <w:rPr>
          <w:rStyle w:val="a8"/>
        </w:rPr>
        <w:t>ДВ</w:t>
      </w:r>
      <w:r>
        <w:t xml:space="preserve"> в Україні залишається відшкодування даного податку з бюджету. Право на відшкодування виникає у випадку, коли сума податкового кредиту пер</w:t>
      </w:r>
      <w:r>
        <w:t>евищує суму податкового зобов’язання з ПДВ, тобто має місце переплата або від’ ємне сальдо платежів з даного податку. Переважання розміру податкового кредиту над податковим зобов’язанням зазвичай виникає у наступних випадках</w:t>
      </w:r>
      <w:r>
        <w:rPr>
          <w:vertAlign w:val="superscript"/>
        </w:rPr>
        <w:t>16</w:t>
      </w:r>
      <w:r>
        <w:t>: експорту товарів або послуг;</w:t>
      </w:r>
      <w:r>
        <w:t xml:space="preserve"> придбання інвестиційних товарів у великих обсягах; здійснення сезонних закупівель товарів.</w:t>
      </w:r>
    </w:p>
    <w:p w:rsidR="00DA52B0" w:rsidRDefault="00C346E1">
      <w:pPr>
        <w:pStyle w:val="a5"/>
        <w:framePr w:w="9936" w:h="12202" w:hRule="exact" w:wrap="around" w:vAnchor="page" w:hAnchor="page" w:x="1004" w:y="1145"/>
        <w:shd w:val="clear" w:color="auto" w:fill="auto"/>
        <w:spacing w:before="0" w:after="0"/>
        <w:ind w:left="20" w:right="20" w:firstLine="560"/>
        <w:jc w:val="both"/>
      </w:pPr>
      <w:r>
        <w:t>Реформування системи відшкодування ПДВ в нашій державі повинне здійснюватися у напрямі вирішення двох наступних завдань:</w:t>
      </w:r>
    </w:p>
    <w:p w:rsidR="00DA52B0" w:rsidRDefault="00C346E1">
      <w:pPr>
        <w:pStyle w:val="a5"/>
        <w:framePr w:w="9936" w:h="12202" w:hRule="exact" w:wrap="around" w:vAnchor="page" w:hAnchor="page" w:x="1004" w:y="1145"/>
        <w:numPr>
          <w:ilvl w:val="0"/>
          <w:numId w:val="5"/>
        </w:numPr>
        <w:shd w:val="clear" w:color="auto" w:fill="auto"/>
        <w:spacing w:before="0" w:after="0"/>
        <w:ind w:left="20" w:right="20" w:firstLine="560"/>
        <w:jc w:val="both"/>
      </w:pPr>
      <w:r>
        <w:t xml:space="preserve"> подолання заборгованості держави перед платниками ПДВ та забезпечення своєчасності і повноти відшкодування ПДВ добросовісним платникам податку;</w:t>
      </w:r>
    </w:p>
    <w:p w:rsidR="00DA52B0" w:rsidRDefault="00C346E1">
      <w:pPr>
        <w:pStyle w:val="a5"/>
        <w:framePr w:w="9936" w:h="12202" w:hRule="exact" w:wrap="around" w:vAnchor="page" w:hAnchor="page" w:x="1004" w:y="1145"/>
        <w:numPr>
          <w:ilvl w:val="0"/>
          <w:numId w:val="5"/>
        </w:numPr>
        <w:shd w:val="clear" w:color="auto" w:fill="auto"/>
        <w:spacing w:before="0" w:after="0"/>
        <w:ind w:left="20" w:right="20" w:firstLine="560"/>
        <w:jc w:val="both"/>
      </w:pPr>
      <w:r>
        <w:t xml:space="preserve"> удосконалення механізму перевірки законності вимог суб’єктів господарювання на відшкодування податку з метою у</w:t>
      </w:r>
      <w:r>
        <w:t>никнення схем незаконного повернення П</w:t>
      </w:r>
      <w:r>
        <w:rPr>
          <w:rStyle w:val="a8"/>
        </w:rPr>
        <w:t>ДВ</w:t>
      </w:r>
      <w:r>
        <w:t>.</w:t>
      </w:r>
    </w:p>
    <w:p w:rsidR="00DA52B0" w:rsidRDefault="00C346E1">
      <w:pPr>
        <w:pStyle w:val="a5"/>
        <w:framePr w:w="9936" w:h="12202" w:hRule="exact" w:wrap="around" w:vAnchor="page" w:hAnchor="page" w:x="1004" w:y="1145"/>
        <w:shd w:val="clear" w:color="auto" w:fill="auto"/>
        <w:spacing w:before="0" w:after="0"/>
        <w:ind w:left="20" w:right="20" w:firstLine="560"/>
        <w:jc w:val="both"/>
      </w:pPr>
      <w:r>
        <w:t>Вагомий крок у напрямі вирішення першого завдання було зроблено завдяки запровадженню системи автоматичного відшкодування ПДВ платникам податків, які відповідають певним критеріям, передбаченим п. 200.19 Податковог</w:t>
      </w:r>
      <w:r>
        <w:t>о кодексу України. Варто зазначити, що кількість критеріїв є достатньо великою та ставить значні вимоги до платників, що суттєво звужує коло претендентів на автоматичне повернення податку. На нашу думку, в сучасних економічних умовах, найбільшою перешкодою</w:t>
      </w:r>
      <w:r>
        <w:t xml:space="preserve"> для автоматичного відшкодування з бюджету сум податку на додану вартість для малих та середніх суб’єктів господарювання є низький рівень середньої заробітної плати працівників підприємств-працедавців. Згідно Податкового кодексу України для отримання права</w:t>
      </w:r>
      <w:r>
        <w:t xml:space="preserve"> на автоматичне відшкодування ПДВ згаданий показник повинен перевищувати мінімальний рівень заробітної плати не менше ніж у 2,5 рази</w:t>
      </w:r>
      <w:r>
        <w:rPr>
          <w:vertAlign w:val="superscript"/>
        </w:rPr>
        <w:t>17</w:t>
      </w:r>
      <w:r>
        <w:t>.</w:t>
      </w:r>
    </w:p>
    <w:p w:rsidR="00DA52B0" w:rsidRDefault="00C346E1">
      <w:pPr>
        <w:pStyle w:val="a5"/>
        <w:framePr w:w="9936" w:h="12202" w:hRule="exact" w:wrap="around" w:vAnchor="page" w:hAnchor="page" w:x="1004" w:y="1145"/>
        <w:shd w:val="clear" w:color="auto" w:fill="auto"/>
        <w:spacing w:before="0" w:after="0"/>
        <w:ind w:left="20" w:right="20" w:firstLine="560"/>
        <w:jc w:val="both"/>
      </w:pPr>
      <w:r>
        <w:t>Незважаючи на недосконалий механізм автоматичного відшкодування ПДВ, частка повернених з його допомогою сум постійно зро</w:t>
      </w:r>
      <w:r>
        <w:t>стає (у 2014 році вона досягла 50 % від</w:t>
      </w:r>
    </w:p>
    <w:p w:rsidR="00DA52B0" w:rsidRDefault="00C346E1">
      <w:pPr>
        <w:pStyle w:val="ae"/>
        <w:framePr w:w="9960" w:h="484" w:hRule="exact" w:wrap="around" w:vAnchor="page" w:hAnchor="page" w:x="980" w:y="14001"/>
        <w:shd w:val="clear" w:color="auto" w:fill="auto"/>
        <w:ind w:right="20"/>
      </w:pPr>
      <w:r>
        <w:rPr>
          <w:vertAlign w:val="superscript"/>
        </w:rPr>
        <w:t>15</w:t>
      </w:r>
      <w:r>
        <w:t xml:space="preserve"> Мартиненко О.В. Основні тенденції та перспективи розвитку обліку податку на додану вартість / О.В. Мартиненко, А.В. </w:t>
      </w:r>
      <w:r>
        <w:rPr>
          <w:lang w:val="ru-RU" w:eastAsia="ru-RU" w:bidi="ru-RU"/>
        </w:rPr>
        <w:t xml:space="preserve">Малахова </w:t>
      </w:r>
      <w:r>
        <w:t xml:space="preserve">// Вісник ОНУ імені 1.1. </w:t>
      </w:r>
      <w:r>
        <w:rPr>
          <w:lang w:val="ru-RU" w:eastAsia="ru-RU" w:bidi="ru-RU"/>
        </w:rPr>
        <w:t xml:space="preserve">Мечникова. </w:t>
      </w:r>
      <w:r>
        <w:t xml:space="preserve">- 2013. - Т.18. - Вип. 2/1. - С. 26-29. </w:t>
      </w:r>
      <w:r>
        <w:rPr>
          <w:rStyle w:val="0pt1"/>
        </w:rPr>
        <w:t>с. 27</w:t>
      </w:r>
    </w:p>
    <w:p w:rsidR="00DA52B0" w:rsidRDefault="00C346E1">
      <w:pPr>
        <w:pStyle w:val="ae"/>
        <w:framePr w:w="9960" w:h="225" w:hRule="exact" w:wrap="around" w:vAnchor="page" w:hAnchor="page" w:x="980" w:y="14485"/>
        <w:shd w:val="clear" w:color="auto" w:fill="auto"/>
        <w:ind w:left="20"/>
        <w:jc w:val="left"/>
      </w:pPr>
      <w:r>
        <w:rPr>
          <w:vertAlign w:val="superscript"/>
        </w:rPr>
        <w:t>16</w:t>
      </w:r>
      <w:r>
        <w:t xml:space="preserve"> Сок</w:t>
      </w:r>
      <w:r>
        <w:t>оловська А.М. Основи теорії податків: навчальний посібник / А.М. Соколовська. - К.: Кондор, 2010. - С.</w:t>
      </w:r>
    </w:p>
    <w:p w:rsidR="00DA52B0" w:rsidRDefault="00C346E1">
      <w:pPr>
        <w:pStyle w:val="ae"/>
        <w:framePr w:w="9960" w:h="484" w:hRule="exact" w:wrap="around" w:vAnchor="page" w:hAnchor="page" w:x="980" w:y="14716"/>
        <w:shd w:val="clear" w:color="auto" w:fill="auto"/>
        <w:ind w:left="20" w:right="80"/>
      </w:pPr>
      <w:r>
        <w:rPr>
          <w:vertAlign w:val="superscript"/>
        </w:rPr>
        <w:t>17</w:t>
      </w:r>
      <w:r>
        <w:t xml:space="preserve"> Податковий кодекс України від 02.12.2010 № 2755-УІ (редакція від 01.05.2014) / Офіційний сайт Верховної Ради України [Електронний ресурс]. - Режим дос</w:t>
      </w:r>
      <w:r>
        <w:t xml:space="preserve">тупу: </w:t>
      </w:r>
      <w:hyperlink r:id="rId15" w:history="1">
        <w:r>
          <w:rPr>
            <w:rStyle w:val="a3"/>
            <w:lang w:val="en-US" w:eastAsia="en-US" w:bidi="en-US"/>
          </w:rPr>
          <w:t>http://zakon4.rada.gov.ua/laws/show/2755-17</w:t>
        </w:r>
      </w:hyperlink>
    </w:p>
    <w:p w:rsidR="00DA52B0" w:rsidRDefault="00C346E1">
      <w:pPr>
        <w:pStyle w:val="a7"/>
        <w:framePr w:wrap="around" w:vAnchor="page" w:hAnchor="page" w:x="1004" w:y="15594"/>
        <w:shd w:val="clear" w:color="auto" w:fill="auto"/>
        <w:spacing w:line="170" w:lineRule="exact"/>
        <w:ind w:left="20"/>
      </w:pPr>
      <w:r>
        <w:t>130</w:t>
      </w:r>
    </w:p>
    <w:p w:rsidR="00DA52B0" w:rsidRDefault="00DA52B0">
      <w:pPr>
        <w:rPr>
          <w:sz w:val="2"/>
          <w:szCs w:val="2"/>
        </w:rPr>
        <w:sectPr w:rsidR="00DA52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52B0" w:rsidRDefault="00C346E1">
      <w:pPr>
        <w:pStyle w:val="a5"/>
        <w:framePr w:w="9946" w:h="4752" w:hRule="exact" w:wrap="around" w:vAnchor="page" w:hAnchor="page" w:x="999" w:y="1126"/>
        <w:shd w:val="clear" w:color="auto" w:fill="auto"/>
        <w:spacing w:before="0" w:after="0"/>
        <w:ind w:left="20" w:right="20"/>
        <w:jc w:val="both"/>
      </w:pPr>
      <w:r>
        <w:lastRenderedPageBreak/>
        <w:t>загального розміру відшкодованих платникам коштів</w:t>
      </w:r>
      <w:r>
        <w:rPr>
          <w:vertAlign w:val="superscript"/>
        </w:rPr>
        <w:t>18</w:t>
      </w:r>
      <w:r>
        <w:t>). Невирішеною проблемою залишається також значна заборгованість з П</w:t>
      </w:r>
      <w:r>
        <w:rPr>
          <w:rStyle w:val="a8"/>
        </w:rPr>
        <w:t>ДВ</w:t>
      </w:r>
      <w:r>
        <w:t>,</w:t>
      </w:r>
      <w:r>
        <w:t xml:space="preserve"> накопичена у попередніх періодах (до 2014 року), одним із способів вирішення якої може стати застосування облігацій внутрішньої державної позики (ОВДП). Однак, такі облігації є зазвичай малоліквідними та низькоприбутковими, що суттєво знижує їхню привабли</w:t>
      </w:r>
      <w:r>
        <w:t>вість для претендентів на відшкодування податку. Так, урядом України заплановано випустити у 2014 році ОВДП терміном на 5 років з прибутковістю - 9 % річних у національній валюті. Для порівняння, прибутковість державних цінних паперів у європейських країна</w:t>
      </w:r>
      <w:r>
        <w:t>х (євробондів) на сьогодні становить близько 11-12 % у доларах США, що перевищує прибутковість вітчизняних аналогів в середньому у 14 разів</w:t>
      </w:r>
      <w:r>
        <w:rPr>
          <w:vertAlign w:val="superscript"/>
        </w:rPr>
        <w:t>19</w:t>
      </w:r>
      <w:r>
        <w:t>.</w:t>
      </w:r>
    </w:p>
    <w:p w:rsidR="00DA52B0" w:rsidRDefault="00C346E1">
      <w:pPr>
        <w:pStyle w:val="a5"/>
        <w:framePr w:w="9946" w:h="4752" w:hRule="exact" w:wrap="around" w:vAnchor="page" w:hAnchor="page" w:x="999" w:y="1126"/>
        <w:shd w:val="clear" w:color="auto" w:fill="auto"/>
        <w:spacing w:before="0" w:after="0"/>
        <w:ind w:left="20" w:right="20" w:firstLine="560"/>
        <w:jc w:val="both"/>
      </w:pPr>
      <w:r>
        <w:t>Засобом уникнення випадків незаконного відшкодування податку на додану вартість є, з одного боку, підвищення рівн</w:t>
      </w:r>
      <w:r>
        <w:t>я податкової культури вітчизняних суб’єктів господарювання, а з іншого, - удосконалення системи податкового контролю в напрямі застосування сучасних методів оцінки ризиків ухилення від оподаткування, побудованих на основі комп’ютеризованих інформаційних си</w:t>
      </w:r>
      <w:r>
        <w:t>стем.</w:t>
      </w:r>
    </w:p>
    <w:p w:rsidR="00DA52B0" w:rsidRDefault="00C346E1">
      <w:pPr>
        <w:pStyle w:val="a5"/>
        <w:framePr w:w="9946" w:h="4752" w:hRule="exact" w:wrap="around" w:vAnchor="page" w:hAnchor="page" w:x="999" w:y="1126"/>
        <w:shd w:val="clear" w:color="auto" w:fill="auto"/>
        <w:spacing w:before="0" w:after="0"/>
        <w:ind w:left="20" w:right="20" w:firstLine="560"/>
        <w:jc w:val="both"/>
      </w:pPr>
      <w:r>
        <w:t>Як уже зазначалося вище, податок на додану вартість, на сьогодні, розцінюється державою як основний із бюджетоутворюючих, а отже, в першу чергу, виконує саме фіскальну, а не регулюючу функцію (табл. 5).</w:t>
      </w:r>
    </w:p>
    <w:p w:rsidR="00DA52B0" w:rsidRDefault="00C346E1">
      <w:pPr>
        <w:pStyle w:val="aa"/>
        <w:framePr w:w="9686" w:h="891" w:hRule="exact" w:wrap="around" w:vAnchor="page" w:hAnchor="page" w:x="1239" w:y="6099"/>
        <w:shd w:val="clear" w:color="auto" w:fill="auto"/>
        <w:spacing w:line="274" w:lineRule="exact"/>
        <w:ind w:right="40"/>
      </w:pPr>
      <w:r>
        <w:t>Таблиця 5</w:t>
      </w:r>
    </w:p>
    <w:p w:rsidR="00DA52B0" w:rsidRDefault="00C346E1">
      <w:pPr>
        <w:pStyle w:val="aa"/>
        <w:framePr w:w="9686" w:h="891" w:hRule="exact" w:wrap="around" w:vAnchor="page" w:hAnchor="page" w:x="1239" w:y="6099"/>
        <w:shd w:val="clear" w:color="auto" w:fill="auto"/>
        <w:tabs>
          <w:tab w:val="left" w:leader="underscore" w:pos="3154"/>
          <w:tab w:val="left" w:leader="underscore" w:pos="4042"/>
          <w:tab w:val="left" w:pos="6092"/>
          <w:tab w:val="left" w:leader="underscore" w:pos="6956"/>
          <w:tab w:val="left" w:leader="underscore" w:pos="7834"/>
          <w:tab w:val="left" w:leader="underscore" w:pos="8766"/>
          <w:tab w:val="left" w:leader="underscore" w:pos="9639"/>
        </w:tabs>
        <w:spacing w:line="274" w:lineRule="exact"/>
        <w:ind w:left="20" w:right="40"/>
        <w:jc w:val="left"/>
      </w:pPr>
      <w:r>
        <w:t>Динаміка надходження податку на додан</w:t>
      </w:r>
      <w:r>
        <w:t xml:space="preserve">у вартість до Державного бюджету України у </w:t>
      </w:r>
      <w:r>
        <w:tab/>
      </w:r>
      <w:r>
        <w:tab/>
      </w:r>
      <w:r>
        <w:rPr>
          <w:rStyle w:val="ab"/>
          <w:b/>
          <w:bCs/>
        </w:rPr>
        <w:t>2007-2013 рр.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994"/>
        <w:gridCol w:w="989"/>
        <w:gridCol w:w="946"/>
        <w:gridCol w:w="874"/>
        <w:gridCol w:w="878"/>
        <w:gridCol w:w="931"/>
        <w:gridCol w:w="883"/>
      </w:tblGrid>
      <w:tr w:rsidR="00DA52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</w:pPr>
            <w:r>
              <w:rPr>
                <w:rStyle w:val="ac"/>
              </w:rPr>
              <w:t>Показники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0pt2"/>
              </w:rPr>
              <w:t>2001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0pt2"/>
                <w:lang w:val="en-US" w:eastAsia="en-US" w:bidi="en-US"/>
              </w:rPr>
              <w:t>2GGS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0pt2"/>
              </w:rPr>
              <w:t>2009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0pt2"/>
              </w:rPr>
              <w:t>2010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0pt2"/>
              </w:rPr>
              <w:t>2011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0pt2"/>
              </w:rPr>
              <w:t>2012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0pt2"/>
              </w:rPr>
              <w:t>2013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ac"/>
              </w:rPr>
              <w:t>Доходи бюджету, млрд. грн.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ac"/>
              </w:rPr>
              <w:t>165,94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ac"/>
              </w:rPr>
              <w:t>231,72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ac"/>
              </w:rPr>
              <w:t>209,7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ac"/>
              </w:rPr>
              <w:t>240,61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ac"/>
              </w:rPr>
              <w:t>314,62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ac"/>
              </w:rPr>
              <w:t>346,05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ac"/>
              </w:rPr>
              <w:t>339,23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83" w:lineRule="exact"/>
              <w:ind w:left="120"/>
              <w:jc w:val="left"/>
            </w:pPr>
            <w:r>
              <w:rPr>
                <w:rStyle w:val="ac"/>
              </w:rPr>
              <w:t>Податкові надходження, млрд. грн.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ac"/>
              </w:rPr>
              <w:t>116,67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ac"/>
              </w:rPr>
              <w:t>167,88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ac"/>
              </w:rPr>
              <w:t>148,91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ac"/>
              </w:rPr>
              <w:t>166,87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ac"/>
              </w:rPr>
              <w:t>261,6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ac"/>
              </w:rPr>
              <w:t>274,71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ac"/>
              </w:rPr>
              <w:t>262,78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ac"/>
              </w:rPr>
              <w:t xml:space="preserve">ПДВ, </w:t>
            </w:r>
            <w:r>
              <w:rPr>
                <w:rStyle w:val="ac"/>
                <w:lang w:val="ru-RU" w:eastAsia="ru-RU" w:bidi="ru-RU"/>
              </w:rPr>
              <w:t xml:space="preserve">млрд. </w:t>
            </w:r>
            <w:r>
              <w:rPr>
                <w:rStyle w:val="ac"/>
              </w:rPr>
              <w:t>грн., в.т.ч.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ac"/>
              </w:rPr>
              <w:t>59,38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ac"/>
              </w:rPr>
              <w:t>92,08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ac"/>
              </w:rPr>
              <w:t>84,6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ac"/>
              </w:rPr>
              <w:t>86,31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ac"/>
              </w:rPr>
              <w:t>130,09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ac"/>
              </w:rPr>
              <w:t>138,83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ac"/>
              </w:rPr>
              <w:t>128,27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c"/>
              </w:rPr>
              <w:t>ПДВ з вироблених в Україні товарів, млрд. грн.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ac"/>
              </w:rPr>
              <w:t>36,55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ac"/>
              </w:rPr>
              <w:t>45,01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ac"/>
              </w:rPr>
              <w:t>45,93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ac"/>
              </w:rPr>
              <w:t>53,64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ac"/>
              </w:rPr>
              <w:t>76,17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ac"/>
              </w:rPr>
              <w:t>82,69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ac"/>
              </w:rPr>
              <w:t>84,55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c"/>
              </w:rPr>
              <w:t>ПДВ із ввезених в Україну товарів, млрд. грн.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ac"/>
              </w:rPr>
              <w:t>41,68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ac"/>
              </w:rPr>
              <w:t>81,01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ac"/>
              </w:rPr>
              <w:t>81,29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ac"/>
              </w:rPr>
              <w:t>73,35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ac"/>
              </w:rPr>
              <w:t>96,02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ac"/>
              </w:rPr>
              <w:t>101,6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ac"/>
              </w:rPr>
              <w:t>96,54</w:t>
            </w:r>
          </w:p>
        </w:tc>
      </w:tr>
      <w:tr w:rsidR="00DA52B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c"/>
              </w:rPr>
              <w:t>Відшкодування ПДВ грошовими коштами, млрд. грн.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ac"/>
              </w:rPr>
              <w:t>-18,87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ac"/>
              </w:rPr>
              <w:t>-34,41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ac"/>
              </w:rPr>
              <w:t>-36,52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ac"/>
              </w:rPr>
              <w:t>-40,67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ac"/>
              </w:rPr>
              <w:t>-42,78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ac"/>
              </w:rPr>
              <w:t>-45,96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2B0" w:rsidRDefault="00C346E1">
            <w:pPr>
              <w:pStyle w:val="a5"/>
              <w:framePr w:w="9869" w:h="3403" w:wrap="around" w:vAnchor="page" w:hAnchor="page" w:x="1004" w:y="694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ac"/>
              </w:rPr>
              <w:t>-53,45</w:t>
            </w:r>
          </w:p>
        </w:tc>
      </w:tr>
    </w:tbl>
    <w:p w:rsidR="00DA52B0" w:rsidRDefault="00C346E1">
      <w:pPr>
        <w:pStyle w:val="a5"/>
        <w:framePr w:w="9946" w:h="3370" w:hRule="exact" w:wrap="around" w:vAnchor="page" w:hAnchor="page" w:x="999" w:y="10587"/>
        <w:shd w:val="clear" w:color="auto" w:fill="auto"/>
        <w:spacing w:before="0" w:after="0"/>
        <w:ind w:left="20" w:right="20" w:firstLine="560"/>
        <w:jc w:val="both"/>
      </w:pPr>
      <w:r>
        <w:t>Дані табл. 1. свідчать про відсутність стабільної позитивної динаміки даного податку у 2007-2013 рр. Скорочення обсягів надходжень від податку на додану вартість відносно попереднього періоду спостерігається у 2009 (на 8,2 %) та 2013 (на 7,6 %) роках, що п</w:t>
      </w:r>
      <w:r>
        <w:t>ов’язано із наслідками кризових явищ в економіці. Варто зауважити, що динаміка доходів бюджету загалом, та податкових надходжень зокрема, протягом аналізованого періоду відповідала тенденціям зміни ПДВ. Стабільними темпами зростали суми заборгованості бюдж</w:t>
      </w:r>
      <w:r>
        <w:t xml:space="preserve">ету з податку на додану вартість перед платниками. Якщо у 2007 році сума невідшкодованого податку складала 18,87 </w:t>
      </w:r>
      <w:r>
        <w:rPr>
          <w:lang w:val="ru-RU" w:eastAsia="ru-RU" w:bidi="ru-RU"/>
        </w:rPr>
        <w:t xml:space="preserve">млрд. грн., </w:t>
      </w:r>
      <w:r>
        <w:t>то у 2013 році вона зросла у 2,8 разів - до 53,45 млрд. грн. Нестійка та, подекуди, негативна динаміка проаналізованих вище показни</w:t>
      </w:r>
      <w:r>
        <w:t xml:space="preserve">ків обумовлена рядом факторів, а саме: інфляційними процесами, девальвацією національної валюти, неефективністю окремих елементів податкового адміністрування, наявністю винятків із загальних </w:t>
      </w:r>
      <w:r>
        <w:rPr>
          <w:lang w:val="ru-RU" w:eastAsia="ru-RU" w:bidi="ru-RU"/>
        </w:rPr>
        <w:t xml:space="preserve">правил </w:t>
      </w:r>
      <w:r>
        <w:t>оподаткування тощо.</w:t>
      </w:r>
    </w:p>
    <w:p w:rsidR="00DA52B0" w:rsidRDefault="00C346E1">
      <w:pPr>
        <w:pStyle w:val="23"/>
        <w:framePr w:w="9970" w:h="139" w:hRule="exact" w:wrap="around" w:vAnchor="page" w:hAnchor="page" w:x="984" w:y="14442"/>
        <w:shd w:val="clear" w:color="auto" w:fill="auto"/>
        <w:spacing w:line="110" w:lineRule="exact"/>
        <w:ind w:left="20"/>
      </w:pPr>
      <w:r>
        <w:t>18</w:t>
      </w:r>
    </w:p>
    <w:p w:rsidR="00DA52B0" w:rsidRDefault="00C346E1">
      <w:pPr>
        <w:pStyle w:val="ae"/>
        <w:framePr w:w="9970" w:h="489" w:hRule="exact" w:wrap="around" w:vAnchor="page" w:hAnchor="page" w:x="984" w:y="14693"/>
        <w:shd w:val="clear" w:color="auto" w:fill="auto"/>
        <w:spacing w:line="230" w:lineRule="exact"/>
        <w:ind w:left="20" w:right="20"/>
      </w:pPr>
      <w:r>
        <w:rPr>
          <w:rStyle w:val="55pt0pt"/>
          <w:vertAlign w:val="superscript"/>
        </w:rPr>
        <w:t>19</w:t>
      </w:r>
      <w:r>
        <w:rPr>
          <w:rStyle w:val="55pt0pt0"/>
        </w:rPr>
        <w:t xml:space="preserve"> </w:t>
      </w:r>
      <w:r>
        <w:t xml:space="preserve">Моісеєнко О. Ображені державою: як повертає ПДВ нова влада / О. Моісеєнко // </w:t>
      </w:r>
      <w:r>
        <w:rPr>
          <w:lang w:val="en-US" w:eastAsia="en-US" w:bidi="en-US"/>
        </w:rPr>
        <w:t xml:space="preserve">Finance.ua </w:t>
      </w:r>
      <w:r>
        <w:t xml:space="preserve">[Електронний ресурс]. - Режим доступу: </w:t>
      </w:r>
      <w:hyperlink r:id="rId16" w:history="1">
        <w:r>
          <w:rPr>
            <w:rStyle w:val="a3"/>
            <w:lang w:val="en-US" w:eastAsia="en-US" w:bidi="en-US"/>
          </w:rPr>
          <w:t>http://news.finance.Ua/ua/~/2/0/all/2014/05/19/326036</w:t>
        </w:r>
      </w:hyperlink>
    </w:p>
    <w:p w:rsidR="00DA52B0" w:rsidRDefault="00C346E1">
      <w:pPr>
        <w:pStyle w:val="a7"/>
        <w:framePr w:wrap="around" w:vAnchor="page" w:hAnchor="page" w:x="989" w:y="15618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>1818-2682. Наука молода, 2014 рік. № 21</w:t>
      </w:r>
    </w:p>
    <w:p w:rsidR="00DA52B0" w:rsidRDefault="00C346E1">
      <w:pPr>
        <w:pStyle w:val="a7"/>
        <w:framePr w:wrap="around" w:vAnchor="page" w:hAnchor="page" w:x="10628" w:y="15623"/>
        <w:shd w:val="clear" w:color="auto" w:fill="auto"/>
        <w:spacing w:line="170" w:lineRule="exact"/>
        <w:ind w:left="20"/>
      </w:pPr>
      <w:r>
        <w:t>131</w:t>
      </w:r>
    </w:p>
    <w:p w:rsidR="00DA52B0" w:rsidRDefault="00DA52B0">
      <w:pPr>
        <w:rPr>
          <w:sz w:val="2"/>
          <w:szCs w:val="2"/>
        </w:rPr>
        <w:sectPr w:rsidR="00DA52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52B0" w:rsidRDefault="00C346E1">
      <w:pPr>
        <w:pStyle w:val="60"/>
        <w:framePr w:w="461" w:h="3408" w:hRule="exact" w:wrap="around" w:vAnchor="page" w:hAnchor="page" w:x="1415" w:y="1205"/>
        <w:shd w:val="clear" w:color="auto" w:fill="auto"/>
        <w:ind w:left="100"/>
      </w:pPr>
      <w:r>
        <w:rPr>
          <w:rStyle w:val="61"/>
        </w:rPr>
        <w:lastRenderedPageBreak/>
        <w:t>100</w:t>
      </w:r>
    </w:p>
    <w:p w:rsidR="00DA52B0" w:rsidRDefault="00C346E1">
      <w:pPr>
        <w:pStyle w:val="a5"/>
        <w:framePr w:w="461" w:h="3408" w:hRule="exact" w:wrap="around" w:vAnchor="page" w:hAnchor="page" w:x="1415" w:y="1205"/>
        <w:shd w:val="clear" w:color="auto" w:fill="auto"/>
        <w:spacing w:before="0" w:after="0" w:line="302" w:lineRule="exact"/>
        <w:ind w:left="220"/>
        <w:jc w:val="left"/>
      </w:pPr>
      <w:r>
        <w:rPr>
          <w:rStyle w:val="af2"/>
        </w:rPr>
        <w:t>90</w:t>
      </w:r>
    </w:p>
    <w:p w:rsidR="00DA52B0" w:rsidRDefault="00C346E1">
      <w:pPr>
        <w:pStyle w:val="a5"/>
        <w:framePr w:w="461" w:h="3408" w:hRule="exact" w:wrap="around" w:vAnchor="page" w:hAnchor="page" w:x="1415" w:y="1205"/>
        <w:shd w:val="clear" w:color="auto" w:fill="auto"/>
        <w:spacing w:before="0" w:after="0" w:line="302" w:lineRule="exact"/>
        <w:ind w:left="220"/>
        <w:jc w:val="left"/>
      </w:pPr>
      <w:r>
        <w:rPr>
          <w:rStyle w:val="af2"/>
        </w:rPr>
        <w:t>80</w:t>
      </w:r>
    </w:p>
    <w:p w:rsidR="00DA52B0" w:rsidRDefault="00C346E1">
      <w:pPr>
        <w:pStyle w:val="a5"/>
        <w:framePr w:w="461" w:h="3408" w:hRule="exact" w:wrap="around" w:vAnchor="page" w:hAnchor="page" w:x="1415" w:y="1205"/>
        <w:shd w:val="clear" w:color="auto" w:fill="auto"/>
        <w:spacing w:before="0" w:after="0" w:line="302" w:lineRule="exact"/>
        <w:ind w:left="220"/>
        <w:jc w:val="left"/>
      </w:pPr>
      <w:r>
        <w:rPr>
          <w:rStyle w:val="af2"/>
        </w:rPr>
        <w:t>70</w:t>
      </w:r>
    </w:p>
    <w:p w:rsidR="00DA52B0" w:rsidRDefault="00C346E1">
      <w:pPr>
        <w:pStyle w:val="a5"/>
        <w:framePr w:w="461" w:h="3408" w:hRule="exact" w:wrap="around" w:vAnchor="page" w:hAnchor="page" w:x="1415" w:y="1205"/>
        <w:shd w:val="clear" w:color="auto" w:fill="auto"/>
        <w:spacing w:before="0" w:after="0" w:line="302" w:lineRule="exact"/>
        <w:ind w:left="220"/>
        <w:jc w:val="left"/>
      </w:pPr>
      <w:r>
        <w:rPr>
          <w:rStyle w:val="af2"/>
        </w:rPr>
        <w:t>60</w:t>
      </w:r>
    </w:p>
    <w:p w:rsidR="00DA52B0" w:rsidRDefault="00C346E1">
      <w:pPr>
        <w:pStyle w:val="a5"/>
        <w:framePr w:w="461" w:h="3408" w:hRule="exact" w:wrap="around" w:vAnchor="page" w:hAnchor="page" w:x="1415" w:y="1205"/>
        <w:shd w:val="clear" w:color="auto" w:fill="auto"/>
        <w:spacing w:before="0" w:after="0" w:line="302" w:lineRule="exact"/>
        <w:ind w:left="220"/>
        <w:jc w:val="left"/>
      </w:pPr>
      <w:r>
        <w:rPr>
          <w:rStyle w:val="af2"/>
        </w:rPr>
        <w:t>50</w:t>
      </w:r>
    </w:p>
    <w:p w:rsidR="00DA52B0" w:rsidRDefault="00C346E1">
      <w:pPr>
        <w:pStyle w:val="a5"/>
        <w:framePr w:w="461" w:h="3408" w:hRule="exact" w:wrap="around" w:vAnchor="page" w:hAnchor="page" w:x="1415" w:y="1205"/>
        <w:shd w:val="clear" w:color="auto" w:fill="auto"/>
        <w:spacing w:before="0" w:after="0" w:line="302" w:lineRule="exact"/>
        <w:ind w:left="220"/>
        <w:jc w:val="left"/>
      </w:pPr>
      <w:r>
        <w:rPr>
          <w:rStyle w:val="af2"/>
        </w:rPr>
        <w:t>40</w:t>
      </w:r>
    </w:p>
    <w:p w:rsidR="00DA52B0" w:rsidRDefault="00C346E1">
      <w:pPr>
        <w:pStyle w:val="70"/>
        <w:framePr w:w="461" w:h="3408" w:hRule="exact" w:wrap="around" w:vAnchor="page" w:hAnchor="page" w:x="1415" w:y="1205"/>
        <w:shd w:val="clear" w:color="auto" w:fill="auto"/>
        <w:ind w:left="220"/>
      </w:pPr>
      <w:r>
        <w:rPr>
          <w:rStyle w:val="71"/>
        </w:rPr>
        <w:t>ЗО</w:t>
      </w:r>
    </w:p>
    <w:p w:rsidR="00DA52B0" w:rsidRDefault="00C346E1">
      <w:pPr>
        <w:pStyle w:val="80"/>
        <w:framePr w:w="461" w:h="3408" w:hRule="exact" w:wrap="around" w:vAnchor="page" w:hAnchor="page" w:x="1415" w:y="1205"/>
        <w:shd w:val="clear" w:color="auto" w:fill="auto"/>
        <w:ind w:left="220"/>
      </w:pPr>
      <w:r>
        <w:rPr>
          <w:rStyle w:val="81"/>
        </w:rPr>
        <w:t>20</w:t>
      </w:r>
    </w:p>
    <w:p w:rsidR="00DA52B0" w:rsidRDefault="00C346E1">
      <w:pPr>
        <w:pStyle w:val="a5"/>
        <w:framePr w:w="461" w:h="3408" w:hRule="exact" w:wrap="around" w:vAnchor="page" w:hAnchor="page" w:x="1415" w:y="1205"/>
        <w:shd w:val="clear" w:color="auto" w:fill="auto"/>
        <w:spacing w:before="0" w:after="0" w:line="302" w:lineRule="exact"/>
        <w:ind w:left="220"/>
        <w:jc w:val="left"/>
      </w:pPr>
      <w:r>
        <w:rPr>
          <w:rStyle w:val="af2"/>
        </w:rPr>
        <w:t>10</w:t>
      </w:r>
    </w:p>
    <w:p w:rsidR="00DA52B0" w:rsidRDefault="00C346E1">
      <w:pPr>
        <w:pStyle w:val="a5"/>
        <w:framePr w:w="461" w:h="3408" w:hRule="exact" w:wrap="around" w:vAnchor="page" w:hAnchor="page" w:x="1415" w:y="1205"/>
        <w:shd w:val="clear" w:color="auto" w:fill="auto"/>
        <w:spacing w:before="0" w:after="0" w:line="302" w:lineRule="exact"/>
        <w:ind w:left="320"/>
        <w:jc w:val="left"/>
      </w:pPr>
      <w:r>
        <w:rPr>
          <w:rStyle w:val="af2"/>
          <w:lang w:val="ru-RU" w:eastAsia="ru-RU" w:bidi="ru-RU"/>
        </w:rPr>
        <w:t>О</w:t>
      </w:r>
    </w:p>
    <w:p w:rsidR="00DA52B0" w:rsidRDefault="00C346E1">
      <w:pPr>
        <w:framePr w:wrap="none" w:vAnchor="page" w:hAnchor="page" w:x="1943" w:y="2825"/>
        <w:rPr>
          <w:sz w:val="2"/>
          <w:szCs w:val="2"/>
        </w:rPr>
      </w:pPr>
      <w:r>
        <w:pict>
          <v:shape id="_x0000_i1027" type="#_x0000_t75" style="width:39.75pt;height:81.75pt">
            <v:imagedata r:id="rId17" r:href="rId18"/>
          </v:shape>
        </w:pict>
      </w:r>
    </w:p>
    <w:p w:rsidR="00DA52B0" w:rsidRDefault="00C346E1">
      <w:pPr>
        <w:pStyle w:val="a5"/>
        <w:framePr w:wrap="around" w:vAnchor="page" w:hAnchor="page" w:x="2298" w:y="4658"/>
        <w:shd w:val="clear" w:color="auto" w:fill="auto"/>
        <w:spacing w:before="0" w:after="0" w:line="210" w:lineRule="exact"/>
        <w:ind w:left="100"/>
        <w:jc w:val="left"/>
      </w:pPr>
      <w:r>
        <w:rPr>
          <w:rStyle w:val="af3"/>
        </w:rPr>
        <w:t>2007</w:t>
      </w:r>
    </w:p>
    <w:p w:rsidR="00DA52B0" w:rsidRDefault="00C346E1">
      <w:pPr>
        <w:pStyle w:val="90"/>
        <w:framePr w:w="288" w:h="515" w:hRule="exact" w:wrap="around" w:vAnchor="page" w:hAnchor="page" w:x="3930" w:y="1466"/>
        <w:shd w:val="clear" w:color="auto" w:fill="auto"/>
        <w:spacing w:line="110" w:lineRule="exact"/>
        <w:ind w:left="100"/>
      </w:pPr>
      <w:r>
        <w:rPr>
          <w:rStyle w:val="91"/>
        </w:rPr>
        <w:t>СО</w:t>
      </w:r>
    </w:p>
    <w:p w:rsidR="00DA52B0" w:rsidRDefault="00C346E1">
      <w:pPr>
        <w:pStyle w:val="50"/>
        <w:framePr w:w="288" w:h="515" w:hRule="exact" w:wrap="around" w:vAnchor="page" w:hAnchor="page" w:x="3930" w:y="1466"/>
        <w:shd w:val="clear" w:color="auto" w:fill="auto"/>
        <w:spacing w:line="170" w:lineRule="exact"/>
        <w:ind w:left="100"/>
      </w:pPr>
      <w:r>
        <w:rPr>
          <w:rStyle w:val="51"/>
        </w:rPr>
        <w:t>о</w:t>
      </w:r>
    </w:p>
    <w:p w:rsidR="00DA52B0" w:rsidRDefault="00C346E1">
      <w:pPr>
        <w:pStyle w:val="101"/>
        <w:framePr w:w="288" w:h="515" w:hRule="exact" w:wrap="around" w:vAnchor="page" w:hAnchor="page" w:x="3930" w:y="1466"/>
        <w:shd w:val="clear" w:color="auto" w:fill="auto"/>
        <w:spacing w:line="110" w:lineRule="exact"/>
        <w:ind w:left="100"/>
      </w:pPr>
      <w:r>
        <w:rPr>
          <w:rStyle w:val="102"/>
          <w:b/>
          <w:bCs/>
        </w:rPr>
        <w:t>00</w:t>
      </w:r>
    </w:p>
    <w:p w:rsidR="00DA52B0" w:rsidRDefault="00C346E1">
      <w:pPr>
        <w:pStyle w:val="50"/>
        <w:framePr w:w="288" w:h="515" w:hRule="exact" w:wrap="around" w:vAnchor="page" w:hAnchor="page" w:x="3930" w:y="1466"/>
        <w:shd w:val="clear" w:color="auto" w:fill="auto"/>
        <w:spacing w:line="170" w:lineRule="exact"/>
        <w:ind w:left="100"/>
      </w:pPr>
      <w:r>
        <w:rPr>
          <w:rStyle w:val="51"/>
        </w:rPr>
        <w:t>о</w:t>
      </w:r>
    </w:p>
    <w:p w:rsidR="00DA52B0" w:rsidRDefault="00C346E1">
      <w:pPr>
        <w:pStyle w:val="50"/>
        <w:framePr w:wrap="around" w:vAnchor="page" w:hAnchor="page" w:x="5101" w:y="1210"/>
        <w:shd w:val="clear" w:color="auto" w:fill="auto"/>
        <w:spacing w:line="170" w:lineRule="exact"/>
        <w:ind w:left="100"/>
      </w:pPr>
      <w:r>
        <w:rPr>
          <w:rStyle w:val="51"/>
        </w:rPr>
        <w:t>■о</w:t>
      </w:r>
    </w:p>
    <w:p w:rsidR="00DA52B0" w:rsidRDefault="00C346E1">
      <w:pPr>
        <w:framePr w:wrap="none" w:vAnchor="page" w:hAnchor="page" w:x="3402" w:y="2787"/>
        <w:rPr>
          <w:sz w:val="2"/>
          <w:szCs w:val="2"/>
        </w:rPr>
      </w:pPr>
      <w:r>
        <w:pict>
          <v:shape id="_x0000_i1028" type="#_x0000_t75" style="width:27pt;height:84pt">
            <v:imagedata r:id="rId19" r:href="rId20"/>
          </v:shape>
        </w:pict>
      </w:r>
    </w:p>
    <w:p w:rsidR="00DA52B0" w:rsidRDefault="00C346E1">
      <w:pPr>
        <w:framePr w:wrap="none" w:vAnchor="page" w:hAnchor="page" w:x="4583" w:y="2729"/>
        <w:rPr>
          <w:sz w:val="2"/>
          <w:szCs w:val="2"/>
        </w:rPr>
      </w:pPr>
      <w:r>
        <w:pict>
          <v:shape id="_x0000_i1029" type="#_x0000_t75" style="width:27pt;height:87pt">
            <v:imagedata r:id="rId21" r:href="rId22"/>
          </v:shape>
        </w:pict>
      </w:r>
    </w:p>
    <w:p w:rsidR="00DA52B0" w:rsidRDefault="00C346E1">
      <w:pPr>
        <w:pStyle w:val="50"/>
        <w:framePr w:w="4752" w:h="2472" w:hRule="exact" w:wrap="around" w:vAnchor="page" w:hAnchor="page" w:x="5120" w:y="2372"/>
        <w:shd w:val="clear" w:color="auto" w:fill="auto"/>
        <w:tabs>
          <w:tab w:val="right" w:pos="2666"/>
          <w:tab w:val="right" w:pos="4437"/>
        </w:tabs>
        <w:spacing w:line="170" w:lineRule="exact"/>
        <w:ind w:left="640"/>
        <w:jc w:val="both"/>
      </w:pPr>
      <w:r>
        <w:rPr>
          <w:rStyle w:val="51"/>
        </w:rPr>
        <w:t>►—</w:t>
      </w:r>
      <w:r>
        <w:rPr>
          <w:rStyle w:val="51"/>
        </w:rPr>
        <w:tab/>
        <w:t>^</w:t>
      </w:r>
      <w:r>
        <w:rPr>
          <w:rStyle w:val="51"/>
        </w:rPr>
        <w:tab/>
        <w:t>гг</w:t>
      </w:r>
    </w:p>
    <w:p w:rsidR="00DA52B0" w:rsidRDefault="00C346E1">
      <w:pPr>
        <w:pStyle w:val="a5"/>
        <w:framePr w:w="4752" w:h="2472" w:hRule="exact" w:wrap="around" w:vAnchor="page" w:hAnchor="page" w:x="5120" w:y="2372"/>
        <w:shd w:val="clear" w:color="auto" w:fill="auto"/>
        <w:tabs>
          <w:tab w:val="left" w:leader="underscore" w:pos="3905"/>
          <w:tab w:val="left" w:leader="underscore" w:pos="4270"/>
          <w:tab w:val="left" w:leader="underscore" w:pos="4841"/>
        </w:tabs>
        <w:spacing w:before="0" w:after="0" w:line="210" w:lineRule="exact"/>
        <w:ind w:left="2460"/>
        <w:jc w:val="both"/>
      </w:pPr>
      <w:r>
        <w:rPr>
          <w:rStyle w:val="af2"/>
          <w:lang w:val="ru-RU" w:eastAsia="ru-RU" w:bidi="ru-RU"/>
        </w:rPr>
        <w:t xml:space="preserve">—  о </w:t>
      </w:r>
      <w:r>
        <w:rPr>
          <w:rStyle w:val="af2"/>
          <w:lang w:val="ru-RU" w:eastAsia="ru-RU" w:bidi="ru-RU"/>
        </w:rPr>
        <w:tab/>
      </w:r>
      <w:r>
        <w:rPr>
          <w:rStyle w:val="af2"/>
          <w:lang w:val="ru-RU" w:eastAsia="ru-RU" w:bidi="ru-RU"/>
        </w:rPr>
        <w:tab/>
      </w:r>
      <w:r>
        <w:rPr>
          <w:rStyle w:val="af2"/>
          <w:lang w:val="ru-RU" w:eastAsia="ru-RU" w:bidi="ru-RU"/>
        </w:rPr>
        <w:tab/>
      </w:r>
    </w:p>
    <w:p w:rsidR="00DA52B0" w:rsidRDefault="00C346E1">
      <w:pPr>
        <w:pStyle w:val="110"/>
        <w:framePr w:w="4752" w:h="2472" w:hRule="exact" w:wrap="around" w:vAnchor="page" w:hAnchor="page" w:x="5120" w:y="2372"/>
        <w:shd w:val="clear" w:color="auto" w:fill="auto"/>
        <w:tabs>
          <w:tab w:val="right" w:pos="2090"/>
          <w:tab w:val="right" w:pos="2392"/>
          <w:tab w:val="right" w:pos="3304"/>
          <w:tab w:val="right" w:pos="4446"/>
          <w:tab w:val="right" w:pos="4763"/>
        </w:tabs>
        <w:spacing w:line="140" w:lineRule="exact"/>
        <w:ind w:left="640"/>
      </w:pPr>
      <w:r>
        <w:rPr>
          <w:rStyle w:val="111"/>
          <w:b/>
          <w:bCs/>
          <w:vertAlign w:val="superscript"/>
        </w:rPr>
        <w:t>ы</w:t>
      </w:r>
      <w:r>
        <w:rPr>
          <w:rStyle w:val="111"/>
          <w:b/>
          <w:bCs/>
        </w:rPr>
        <w:tab/>
        <w:t>г</w:t>
      </w:r>
      <w:r>
        <w:rPr>
          <w:rStyle w:val="111"/>
          <w:b/>
          <w:bCs/>
          <w:vertAlign w:val="superscript"/>
        </w:rPr>
        <w:t>4</w:t>
      </w:r>
      <w:r>
        <w:rPr>
          <w:rStyle w:val="111"/>
          <w:b/>
          <w:bCs/>
        </w:rPr>
        <w:tab/>
        <w:t>^</w:t>
      </w:r>
      <w:r>
        <w:rPr>
          <w:rStyle w:val="111"/>
          <w:b/>
          <w:bCs/>
        </w:rPr>
        <w:tab/>
      </w:r>
      <w:r>
        <w:rPr>
          <w:rStyle w:val="111"/>
          <w:b/>
          <w:bCs/>
          <w:lang w:val="uk-UA" w:eastAsia="uk-UA" w:bidi="uk-UA"/>
        </w:rPr>
        <w:t>V</w:t>
      </w:r>
      <w:r>
        <w:rPr>
          <w:rStyle w:val="111"/>
          <w:b/>
          <w:bCs/>
          <w:vertAlign w:val="superscript"/>
          <w:lang w:val="uk-UA" w:eastAsia="uk-UA" w:bidi="uk-UA"/>
        </w:rPr>
        <w:t>і</w:t>
      </w:r>
      <w:r>
        <w:rPr>
          <w:rStyle w:val="111"/>
          <w:b/>
          <w:bCs/>
          <w:lang w:val="uk-UA" w:eastAsia="uk-UA" w:bidi="uk-UA"/>
        </w:rPr>
        <w:tab/>
      </w:r>
      <w:r>
        <w:rPr>
          <w:rStyle w:val="111"/>
          <w:b/>
          <w:bCs/>
        </w:rPr>
        <w:t>22</w:t>
      </w:r>
      <w:r>
        <w:rPr>
          <w:rStyle w:val="111"/>
          <w:b/>
          <w:bCs/>
        </w:rPr>
        <w:tab/>
      </w:r>
      <w:r>
        <w:rPr>
          <w:rStyle w:val="111"/>
          <w:b/>
          <w:bCs/>
          <w:lang w:val="uk-UA" w:eastAsia="uk-UA" w:bidi="uk-UA"/>
        </w:rPr>
        <w:t>і</w:t>
      </w:r>
    </w:p>
    <w:p w:rsidR="00DA52B0" w:rsidRDefault="00C346E1">
      <w:pPr>
        <w:pStyle w:val="122"/>
        <w:framePr w:w="4752" w:h="2472" w:hRule="exact" w:wrap="around" w:vAnchor="page" w:hAnchor="page" w:x="5120" w:y="2372"/>
        <w:shd w:val="clear" w:color="auto" w:fill="auto"/>
        <w:spacing w:line="2080" w:lineRule="exact"/>
        <w:ind w:left="100"/>
      </w:pPr>
      <w:r>
        <w:rPr>
          <w:rStyle w:val="123"/>
        </w:rPr>
        <w:t>ЇЙ</w:t>
      </w:r>
    </w:p>
    <w:p w:rsidR="00DA52B0" w:rsidRDefault="00C346E1">
      <w:pPr>
        <w:pStyle w:val="a5"/>
        <w:framePr w:wrap="around" w:vAnchor="page" w:hAnchor="page" w:x="3488" w:y="4658"/>
        <w:shd w:val="clear" w:color="auto" w:fill="auto"/>
        <w:spacing w:before="0" w:after="0" w:line="210" w:lineRule="exact"/>
        <w:ind w:left="100"/>
        <w:jc w:val="left"/>
      </w:pPr>
      <w:r>
        <w:rPr>
          <w:rStyle w:val="af2"/>
          <w:lang w:val="ru-RU" w:eastAsia="ru-RU" w:bidi="ru-RU"/>
        </w:rPr>
        <w:t>2008</w:t>
      </w:r>
    </w:p>
    <w:p w:rsidR="00DA52B0" w:rsidRDefault="00C346E1">
      <w:pPr>
        <w:pStyle w:val="a5"/>
        <w:framePr w:wrap="around" w:vAnchor="page" w:hAnchor="page" w:x="4669" w:y="4658"/>
        <w:shd w:val="clear" w:color="auto" w:fill="auto"/>
        <w:spacing w:before="0" w:after="0" w:line="210" w:lineRule="exact"/>
        <w:ind w:left="100"/>
        <w:jc w:val="left"/>
      </w:pPr>
      <w:r>
        <w:rPr>
          <w:rStyle w:val="af2"/>
          <w:lang w:val="ru-RU" w:eastAsia="ru-RU" w:bidi="ru-RU"/>
        </w:rPr>
        <w:t>2009</w:t>
      </w:r>
    </w:p>
    <w:p w:rsidR="00DA52B0" w:rsidRDefault="00C346E1">
      <w:pPr>
        <w:pStyle w:val="130"/>
        <w:framePr w:wrap="around" w:vAnchor="page" w:hAnchor="page" w:x="5860" w:y="4668"/>
        <w:shd w:val="clear" w:color="auto" w:fill="auto"/>
        <w:spacing w:line="190" w:lineRule="exact"/>
        <w:ind w:left="100"/>
      </w:pPr>
      <w:r>
        <w:rPr>
          <w:rStyle w:val="131"/>
        </w:rPr>
        <w:t>2010</w:t>
      </w:r>
    </w:p>
    <w:p w:rsidR="00DA52B0" w:rsidRDefault="00C346E1">
      <w:pPr>
        <w:pStyle w:val="140"/>
        <w:framePr w:wrap="around" w:vAnchor="page" w:hAnchor="page" w:x="7050" w:y="4668"/>
        <w:shd w:val="clear" w:color="auto" w:fill="auto"/>
        <w:spacing w:line="170" w:lineRule="exact"/>
        <w:ind w:left="100"/>
      </w:pPr>
      <w:r>
        <w:rPr>
          <w:rStyle w:val="141"/>
          <w:b/>
          <w:bCs/>
        </w:rPr>
        <w:t>2011</w:t>
      </w:r>
    </w:p>
    <w:p w:rsidR="00DA52B0" w:rsidRDefault="00C346E1">
      <w:pPr>
        <w:pStyle w:val="150"/>
        <w:framePr w:wrap="around" w:vAnchor="page" w:hAnchor="page" w:x="8231" w:y="4668"/>
        <w:shd w:val="clear" w:color="auto" w:fill="auto"/>
        <w:spacing w:line="180" w:lineRule="exact"/>
        <w:ind w:left="100"/>
      </w:pPr>
      <w:r>
        <w:rPr>
          <w:rStyle w:val="151"/>
        </w:rPr>
        <w:t>2012</w:t>
      </w:r>
    </w:p>
    <w:p w:rsidR="00DA52B0" w:rsidRDefault="00C346E1">
      <w:pPr>
        <w:pStyle w:val="a5"/>
        <w:framePr w:wrap="around" w:vAnchor="page" w:hAnchor="page" w:x="9421" w:y="4658"/>
        <w:shd w:val="clear" w:color="auto" w:fill="auto"/>
        <w:spacing w:before="0" w:after="0" w:line="210" w:lineRule="exact"/>
        <w:ind w:left="100"/>
        <w:jc w:val="left"/>
      </w:pPr>
      <w:r>
        <w:rPr>
          <w:rStyle w:val="af2"/>
          <w:lang w:val="ru-RU" w:eastAsia="ru-RU" w:bidi="ru-RU"/>
        </w:rPr>
        <w:t>2013</w:t>
      </w:r>
    </w:p>
    <w:p w:rsidR="00DA52B0" w:rsidRDefault="00C346E1">
      <w:pPr>
        <w:pStyle w:val="a5"/>
        <w:framePr w:w="9955" w:h="975" w:hRule="exact" w:wrap="around" w:vAnchor="page" w:hAnchor="page" w:x="978" w:y="5007"/>
        <w:numPr>
          <w:ilvl w:val="0"/>
          <w:numId w:val="6"/>
        </w:numPr>
        <w:shd w:val="clear" w:color="auto" w:fill="auto"/>
        <w:spacing w:before="0" w:after="0" w:line="302" w:lineRule="exact"/>
        <w:ind w:left="1620"/>
        <w:jc w:val="left"/>
      </w:pPr>
      <w:r>
        <w:rPr>
          <w:rStyle w:val="af4"/>
        </w:rPr>
        <w:t xml:space="preserve"> </w:t>
      </w:r>
      <w:r>
        <w:rPr>
          <w:rStyle w:val="af2"/>
        </w:rPr>
        <w:t>Частка ПДВ у податкових надходженнях держави, %</w:t>
      </w:r>
    </w:p>
    <w:p w:rsidR="00DA52B0" w:rsidRDefault="00C346E1">
      <w:pPr>
        <w:pStyle w:val="a5"/>
        <w:framePr w:w="9955" w:h="975" w:hRule="exact" w:wrap="around" w:vAnchor="page" w:hAnchor="page" w:x="978" w:y="5007"/>
        <w:numPr>
          <w:ilvl w:val="0"/>
          <w:numId w:val="6"/>
        </w:numPr>
        <w:shd w:val="clear" w:color="auto" w:fill="auto"/>
        <w:spacing w:before="0" w:after="0" w:line="302" w:lineRule="exact"/>
        <w:ind w:left="1620" w:right="1380"/>
        <w:jc w:val="left"/>
      </w:pPr>
      <w:r>
        <w:rPr>
          <w:rStyle w:val="af2"/>
        </w:rPr>
        <w:t xml:space="preserve"> Частка ПДВ із вироблених в Україні товарів у загальній сумі ПДВ, </w:t>
      </w:r>
      <w:r>
        <w:rPr>
          <w:rStyle w:val="af3"/>
        </w:rPr>
        <w:t xml:space="preserve">% □ </w:t>
      </w:r>
      <w:r>
        <w:rPr>
          <w:rStyle w:val="af2"/>
        </w:rPr>
        <w:t xml:space="preserve">Частка ввезених в Україну товарів у загальній сумі ПДВ, </w:t>
      </w:r>
      <w:r>
        <w:rPr>
          <w:rStyle w:val="af3"/>
        </w:rPr>
        <w:t>%</w:t>
      </w:r>
    </w:p>
    <w:p w:rsidR="00DA52B0" w:rsidRDefault="00C346E1">
      <w:pPr>
        <w:pStyle w:val="20"/>
        <w:framePr w:w="9955" w:h="7817" w:hRule="exact" w:wrap="around" w:vAnchor="page" w:hAnchor="page" w:x="978" w:y="6084"/>
        <w:shd w:val="clear" w:color="auto" w:fill="auto"/>
        <w:spacing w:after="207" w:line="210" w:lineRule="exact"/>
        <w:ind w:left="1620"/>
      </w:pPr>
      <w:bookmarkStart w:id="6" w:name="bookmark6"/>
      <w:r>
        <w:t xml:space="preserve">Рис. 4. Структура податку на </w:t>
      </w:r>
      <w:r>
        <w:t>додану вартість у 2007-2013 рр.</w:t>
      </w:r>
      <w:bookmarkEnd w:id="6"/>
    </w:p>
    <w:p w:rsidR="00DA52B0" w:rsidRDefault="00C346E1">
      <w:pPr>
        <w:pStyle w:val="a5"/>
        <w:framePr w:w="9955" w:h="7817" w:hRule="exact" w:wrap="around" w:vAnchor="page" w:hAnchor="page" w:x="978" w:y="6084"/>
        <w:shd w:val="clear" w:color="auto" w:fill="auto"/>
        <w:spacing w:before="0" w:after="0"/>
        <w:ind w:left="40" w:right="20" w:firstLine="580"/>
        <w:jc w:val="both"/>
      </w:pPr>
      <w:r>
        <w:t>Частка податку на додану вартість у податкових надходженнях державного бюджету у 2007-2013 роках коливалася у межах 50 %; найбільшою вона була у 2009 році - 56,81 %, найменшою - у 2013 році (48,81 %). Щодо структури ПДВ, то найбільшу питому вагу має подато</w:t>
      </w:r>
      <w:r>
        <w:t xml:space="preserve">к із ввезених в Україну товарів - в межах 70-93 %. Така значна частка імпортного ПДВ пояснюється значними обсягами ввезених в Україну товарів (42,3 % </w:t>
      </w:r>
      <w:r>
        <w:rPr>
          <w:lang w:val="ru-RU" w:eastAsia="ru-RU" w:bidi="ru-RU"/>
        </w:rPr>
        <w:t xml:space="preserve">ВВП) </w:t>
      </w:r>
      <w:r>
        <w:t>та широкою базою оподаткування даного податку, яка окрім митної вартості включає мито та акцизний под</w:t>
      </w:r>
      <w:r>
        <w:t>аток.</w:t>
      </w:r>
    </w:p>
    <w:p w:rsidR="00DA52B0" w:rsidRDefault="00C346E1">
      <w:pPr>
        <w:pStyle w:val="a5"/>
        <w:framePr w:w="9955" w:h="7817" w:hRule="exact" w:wrap="around" w:vAnchor="page" w:hAnchor="page" w:x="978" w:y="6084"/>
        <w:shd w:val="clear" w:color="auto" w:fill="auto"/>
        <w:spacing w:before="0" w:after="0"/>
        <w:ind w:left="40" w:right="20" w:firstLine="580"/>
        <w:jc w:val="both"/>
      </w:pPr>
      <w:r>
        <w:rPr>
          <w:rStyle w:val="0pt"/>
        </w:rPr>
        <w:t xml:space="preserve">Висновки та пропозиції. </w:t>
      </w:r>
      <w:r>
        <w:t>Підсумовуючи усе вищесказане, окреслимо основні напрями реформування податку на додану вартість в Україні. Серед них:</w:t>
      </w:r>
    </w:p>
    <w:p w:rsidR="00DA52B0" w:rsidRDefault="00C346E1">
      <w:pPr>
        <w:pStyle w:val="a5"/>
        <w:framePr w:w="9955" w:h="7817" w:hRule="exact" w:wrap="around" w:vAnchor="page" w:hAnchor="page" w:x="978" w:y="6084"/>
        <w:numPr>
          <w:ilvl w:val="0"/>
          <w:numId w:val="3"/>
        </w:numPr>
        <w:shd w:val="clear" w:color="auto" w:fill="auto"/>
        <w:spacing w:before="0" w:after="0" w:line="210" w:lineRule="exact"/>
        <w:ind w:left="40" w:firstLine="580"/>
        <w:jc w:val="both"/>
      </w:pPr>
      <w:r>
        <w:t xml:space="preserve"> припинення процесу відхилення від системи автоматичного податкового регулювання,</w:t>
      </w:r>
    </w:p>
    <w:p w:rsidR="00DA52B0" w:rsidRDefault="00C346E1">
      <w:pPr>
        <w:pStyle w:val="a5"/>
        <w:framePr w:w="9955" w:h="7817" w:hRule="exact" w:wrap="around" w:vAnchor="page" w:hAnchor="page" w:x="978" w:y="6084"/>
        <w:shd w:val="clear" w:color="auto" w:fill="auto"/>
        <w:spacing w:before="0" w:after="0" w:line="210" w:lineRule="exact"/>
        <w:ind w:left="40"/>
        <w:jc w:val="left"/>
      </w:pPr>
      <w:r>
        <w:t>яке пов’язане із постійним</w:t>
      </w:r>
      <w:r>
        <w:t xml:space="preserve"> втручанням органів законодавчої та виконавчої влади у процес</w:t>
      </w:r>
    </w:p>
    <w:p w:rsidR="00DA52B0" w:rsidRDefault="00C346E1">
      <w:pPr>
        <w:pStyle w:val="a5"/>
        <w:framePr w:w="9955" w:h="7817" w:hRule="exact" w:wrap="around" w:vAnchor="page" w:hAnchor="page" w:x="978" w:y="6084"/>
        <w:shd w:val="clear" w:color="auto" w:fill="auto"/>
        <w:spacing w:before="0" w:after="5" w:line="134" w:lineRule="exact"/>
        <w:ind w:left="40" w:right="20"/>
        <w:jc w:val="left"/>
      </w:pPr>
      <w:r>
        <w:t>формування податкової політики через зміну податкових ставок, податкових пільг, режиму • • 20 адміністрування тощо ;</w:t>
      </w:r>
    </w:p>
    <w:p w:rsidR="00DA52B0" w:rsidRDefault="00C346E1">
      <w:pPr>
        <w:pStyle w:val="a5"/>
        <w:framePr w:w="9955" w:h="7817" w:hRule="exact" w:wrap="around" w:vAnchor="page" w:hAnchor="page" w:x="978" w:y="6084"/>
        <w:numPr>
          <w:ilvl w:val="0"/>
          <w:numId w:val="3"/>
        </w:numPr>
        <w:shd w:val="clear" w:color="auto" w:fill="auto"/>
        <w:spacing w:before="0" w:after="0" w:line="278" w:lineRule="exact"/>
        <w:ind w:left="40" w:right="20" w:firstLine="580"/>
        <w:jc w:val="both"/>
      </w:pPr>
      <w:r>
        <w:t xml:space="preserve"> уніфікація переліку винятків із загальних правил оподаткування, визначення обов’язкових критеріїв для надання податкових пільг;</w:t>
      </w:r>
    </w:p>
    <w:p w:rsidR="00DA52B0" w:rsidRDefault="00C346E1">
      <w:pPr>
        <w:pStyle w:val="a5"/>
        <w:framePr w:w="9955" w:h="7817" w:hRule="exact" w:wrap="around" w:vAnchor="page" w:hAnchor="page" w:x="978" w:y="6084"/>
        <w:numPr>
          <w:ilvl w:val="0"/>
          <w:numId w:val="3"/>
        </w:numPr>
        <w:shd w:val="clear" w:color="auto" w:fill="auto"/>
        <w:spacing w:before="0" w:after="0" w:line="278" w:lineRule="exact"/>
        <w:ind w:left="40" w:right="20" w:firstLine="580"/>
        <w:jc w:val="both"/>
      </w:pPr>
      <w:r>
        <w:t xml:space="preserve"> підвищення ефективності податкового адміністрування шляхом подальшого розвитку електронних сервісів взаємодії платників податк</w:t>
      </w:r>
      <w:r>
        <w:t>ів та фіскальних органів, використання сучасних інструментів здійснення податкового контролю, постійного моніторингу податкових ризиків</w:t>
      </w:r>
      <w:r>
        <w:rPr>
          <w:vertAlign w:val="superscript"/>
        </w:rPr>
        <w:t>21</w:t>
      </w:r>
      <w:r>
        <w:t>;</w:t>
      </w:r>
    </w:p>
    <w:p w:rsidR="00DA52B0" w:rsidRDefault="00C346E1">
      <w:pPr>
        <w:pStyle w:val="a5"/>
        <w:framePr w:w="9955" w:h="7817" w:hRule="exact" w:wrap="around" w:vAnchor="page" w:hAnchor="page" w:x="978" w:y="6084"/>
        <w:numPr>
          <w:ilvl w:val="0"/>
          <w:numId w:val="3"/>
        </w:numPr>
        <w:shd w:val="clear" w:color="auto" w:fill="auto"/>
        <w:spacing w:before="0" w:after="27" w:line="210" w:lineRule="exact"/>
        <w:ind w:left="40" w:firstLine="580"/>
        <w:jc w:val="both"/>
      </w:pPr>
      <w:r>
        <w:t xml:space="preserve"> перспективне зниження ставки ПДВ;</w:t>
      </w:r>
    </w:p>
    <w:p w:rsidR="00DA52B0" w:rsidRDefault="00C346E1">
      <w:pPr>
        <w:pStyle w:val="a5"/>
        <w:framePr w:w="9955" w:h="7817" w:hRule="exact" w:wrap="around" w:vAnchor="page" w:hAnchor="page" w:x="978" w:y="6084"/>
        <w:numPr>
          <w:ilvl w:val="0"/>
          <w:numId w:val="3"/>
        </w:numPr>
        <w:shd w:val="clear" w:color="auto" w:fill="auto"/>
        <w:spacing w:before="0" w:after="240"/>
        <w:ind w:left="40" w:right="20" w:firstLine="580"/>
        <w:jc w:val="both"/>
      </w:pPr>
      <w:r>
        <w:t xml:space="preserve"> попередження та недопущення випадків ухилення від сплати П</w:t>
      </w:r>
      <w:r>
        <w:rPr>
          <w:rStyle w:val="a8"/>
        </w:rPr>
        <w:t>ДВ</w:t>
      </w:r>
      <w:r>
        <w:t>, боротьба із схемами</w:t>
      </w:r>
      <w:r>
        <w:t xml:space="preserve"> мінімізації даного податку.</w:t>
      </w:r>
    </w:p>
    <w:p w:rsidR="00DA52B0" w:rsidRDefault="00C346E1">
      <w:pPr>
        <w:pStyle w:val="30"/>
        <w:framePr w:w="9955" w:h="7817" w:hRule="exact" w:wrap="around" w:vAnchor="page" w:hAnchor="page" w:x="978" w:y="6084"/>
        <w:shd w:val="clear" w:color="auto" w:fill="auto"/>
        <w:spacing w:before="0"/>
      </w:pPr>
      <w:r>
        <w:t>Список літератури:</w:t>
      </w:r>
    </w:p>
    <w:p w:rsidR="00DA52B0" w:rsidRDefault="00C346E1">
      <w:pPr>
        <w:pStyle w:val="40"/>
        <w:framePr w:w="9955" w:h="7817" w:hRule="exact" w:wrap="around" w:vAnchor="page" w:hAnchor="page" w:x="978" w:y="6084"/>
        <w:numPr>
          <w:ilvl w:val="0"/>
          <w:numId w:val="7"/>
        </w:numPr>
        <w:shd w:val="clear" w:color="auto" w:fill="auto"/>
        <w:tabs>
          <w:tab w:val="left" w:pos="944"/>
        </w:tabs>
        <w:ind w:left="40" w:right="20" w:firstLine="580"/>
      </w:pPr>
      <w:r>
        <w:t xml:space="preserve">Директива Ради 2006/112/ЄС про спільну систему податку на додану вартість : Міжнародний документ від 28.11.2006 № 2006/112/ЄС / Офіційний сайт Верховної Ради України [Електронний ресурс]. - Режим доступу: </w:t>
      </w:r>
      <w:hyperlink r:id="rId23" w:history="1">
        <w:r>
          <w:rPr>
            <w:rStyle w:val="a3"/>
            <w:lang w:val="en-US" w:eastAsia="en-US" w:bidi="en-US"/>
          </w:rPr>
          <w:t>http://zakon4.rada.gov.ua/laws/show/994_928</w:t>
        </w:r>
      </w:hyperlink>
    </w:p>
    <w:p w:rsidR="00DA52B0" w:rsidRDefault="00C346E1">
      <w:pPr>
        <w:pStyle w:val="ae"/>
        <w:framePr w:w="9984" w:h="484" w:hRule="exact" w:wrap="around" w:vAnchor="page" w:hAnchor="page" w:x="973" w:y="14257"/>
        <w:shd w:val="clear" w:color="auto" w:fill="auto"/>
        <w:ind w:left="20" w:right="20"/>
      </w:pPr>
      <w:r>
        <w:rPr>
          <w:vertAlign w:val="superscript"/>
        </w:rPr>
        <w:t>20</w:t>
      </w:r>
      <w:r>
        <w:t xml:space="preserve"> Податкова політика України: стан, проблеми та перспективи : монографія / П.В. Мельник, Л.Л. Тарангул, З.С. Варналій [та ін.]; за ред. З.С. Варналія. - К.: Знання України, 2008. - С. 105.</w:t>
      </w:r>
    </w:p>
    <w:p w:rsidR="00DA52B0" w:rsidRDefault="00C346E1">
      <w:pPr>
        <w:pStyle w:val="ae"/>
        <w:framePr w:w="9984" w:h="484" w:hRule="exact" w:wrap="around" w:vAnchor="page" w:hAnchor="page" w:x="973" w:y="14742"/>
        <w:shd w:val="clear" w:color="auto" w:fill="auto"/>
        <w:ind w:left="20"/>
      </w:pPr>
      <w:r>
        <w:rPr>
          <w:vertAlign w:val="superscript"/>
        </w:rPr>
        <w:t>21</w:t>
      </w:r>
      <w:r>
        <w:t xml:space="preserve"> Чугунов І.Я. Непряме оподаткування в системі регулювання економік</w:t>
      </w:r>
      <w:r>
        <w:t>и / І.Я. Чугунов, О.М. Жукевич // Економічний часопис - ХХІ. - 2014. - № 1-2(1). - С. 63.</w:t>
      </w:r>
    </w:p>
    <w:p w:rsidR="00DA52B0" w:rsidRDefault="00C346E1">
      <w:pPr>
        <w:pStyle w:val="a7"/>
        <w:framePr w:wrap="around" w:vAnchor="page" w:hAnchor="page" w:x="997" w:y="15620"/>
        <w:shd w:val="clear" w:color="auto" w:fill="auto"/>
        <w:spacing w:line="170" w:lineRule="exact"/>
        <w:ind w:left="20"/>
      </w:pPr>
      <w:r>
        <w:t>132</w:t>
      </w:r>
    </w:p>
    <w:p w:rsidR="00DA52B0" w:rsidRDefault="00DA52B0">
      <w:pPr>
        <w:rPr>
          <w:sz w:val="2"/>
          <w:szCs w:val="2"/>
        </w:rPr>
        <w:sectPr w:rsidR="00DA52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52B0" w:rsidRDefault="00C346E1">
      <w:pPr>
        <w:pStyle w:val="40"/>
        <w:framePr w:w="10234" w:h="6404" w:hRule="exact" w:wrap="around" w:vAnchor="page" w:hAnchor="page" w:x="850" w:y="1126"/>
        <w:numPr>
          <w:ilvl w:val="0"/>
          <w:numId w:val="7"/>
        </w:numPr>
        <w:shd w:val="clear" w:color="auto" w:fill="auto"/>
        <w:ind w:left="20" w:right="280" w:firstLine="580"/>
      </w:pPr>
      <w:r>
        <w:lastRenderedPageBreak/>
        <w:t xml:space="preserve"> </w:t>
      </w:r>
      <w:r>
        <w:rPr>
          <w:lang w:val="ru-RU" w:eastAsia="ru-RU" w:bidi="ru-RU"/>
        </w:rPr>
        <w:t>Ланг Й. Проект кодекса налоговых законов для государств Центральной и Восточной Европы / Федеральное министерство финансов ФРГ. - Бонн, 199</w:t>
      </w:r>
      <w:r>
        <w:rPr>
          <w:lang w:val="ru-RU" w:eastAsia="ru-RU" w:bidi="ru-RU"/>
        </w:rPr>
        <w:t>3</w:t>
      </w:r>
    </w:p>
    <w:p w:rsidR="00DA52B0" w:rsidRDefault="00C346E1">
      <w:pPr>
        <w:pStyle w:val="40"/>
        <w:framePr w:w="10234" w:h="6404" w:hRule="exact" w:wrap="around" w:vAnchor="page" w:hAnchor="page" w:x="850" w:y="1126"/>
        <w:numPr>
          <w:ilvl w:val="0"/>
          <w:numId w:val="7"/>
        </w:numPr>
        <w:shd w:val="clear" w:color="auto" w:fill="auto"/>
        <w:ind w:left="20" w:right="280" w:firstLine="580"/>
      </w:pPr>
      <w:r>
        <w:rPr>
          <w:lang w:val="ru-RU" w:eastAsia="ru-RU" w:bidi="ru-RU"/>
        </w:rPr>
        <w:t xml:space="preserve"> </w:t>
      </w:r>
      <w:r>
        <w:t xml:space="preserve">Мікроекономіка і макроекономіка: Підручник : у 2 ч. / С. Будаговська, О. Кілієвич, І. Луніна та ін.; за заг. </w:t>
      </w:r>
      <w:r>
        <w:rPr>
          <w:lang w:val="ru-RU" w:eastAsia="ru-RU" w:bidi="ru-RU"/>
        </w:rPr>
        <w:t xml:space="preserve">ред. </w:t>
      </w:r>
      <w:r>
        <w:t>С. Будаговської. - К.: Основи, 1998. - 518 с.</w:t>
      </w:r>
    </w:p>
    <w:p w:rsidR="00DA52B0" w:rsidRDefault="00C346E1">
      <w:pPr>
        <w:pStyle w:val="40"/>
        <w:framePr w:w="10234" w:h="6404" w:hRule="exact" w:wrap="around" w:vAnchor="page" w:hAnchor="page" w:x="850" w:y="1126"/>
        <w:numPr>
          <w:ilvl w:val="0"/>
          <w:numId w:val="7"/>
        </w:numPr>
        <w:shd w:val="clear" w:color="auto" w:fill="auto"/>
        <w:ind w:left="20" w:right="280" w:firstLine="580"/>
      </w:pPr>
      <w:r>
        <w:t xml:space="preserve"> Податкова політика України: стан, проблеми та перспективи : монографія / П.В. Мельник, ЛЛ. Т</w:t>
      </w:r>
      <w:r>
        <w:t xml:space="preserve">арангул, З.С. Варналій [та ін.]; за </w:t>
      </w:r>
      <w:r>
        <w:rPr>
          <w:lang w:val="ru-RU" w:eastAsia="ru-RU" w:bidi="ru-RU"/>
        </w:rPr>
        <w:t xml:space="preserve">ред. </w:t>
      </w:r>
      <w:r>
        <w:t>З.С. Варналія. - К.: Знання України, 2008. - 675 с.</w:t>
      </w:r>
    </w:p>
    <w:p w:rsidR="00DA52B0" w:rsidRDefault="00C346E1">
      <w:pPr>
        <w:pStyle w:val="40"/>
        <w:framePr w:w="10234" w:h="6404" w:hRule="exact" w:wrap="around" w:vAnchor="page" w:hAnchor="page" w:x="850" w:y="1126"/>
        <w:numPr>
          <w:ilvl w:val="0"/>
          <w:numId w:val="7"/>
        </w:numPr>
        <w:shd w:val="clear" w:color="auto" w:fill="auto"/>
        <w:ind w:left="20" w:right="280" w:firstLine="580"/>
      </w:pPr>
      <w:r>
        <w:t xml:space="preserve"> Податковий кодекс України від 02.12.2010 № 2755-УЇ (редакція від 01.05.2014) / Офіційний сайт Верховної Ради України [Електронний ресурс]. - Режим доступу: </w:t>
      </w:r>
      <w:hyperlink r:id="rId24" w:history="1">
        <w:r>
          <w:rPr>
            <w:rStyle w:val="a3"/>
            <w:lang w:val="en-US" w:eastAsia="en-US" w:bidi="en-US"/>
          </w:rPr>
          <w:t>http://zakon4.rada.gov</w:t>
        </w:r>
      </w:hyperlink>
      <w:r>
        <w:rPr>
          <w:lang w:val="en-US" w:eastAsia="en-US" w:bidi="en-US"/>
        </w:rPr>
        <w:t xml:space="preserve">. </w:t>
      </w:r>
      <w:r>
        <w:t>ua/laws/show/2755-17</w:t>
      </w:r>
    </w:p>
    <w:p w:rsidR="00DA52B0" w:rsidRDefault="00C346E1">
      <w:pPr>
        <w:pStyle w:val="40"/>
        <w:framePr w:w="10234" w:h="6404" w:hRule="exact" w:wrap="around" w:vAnchor="page" w:hAnchor="page" w:x="850" w:y="1126"/>
        <w:numPr>
          <w:ilvl w:val="0"/>
          <w:numId w:val="7"/>
        </w:numPr>
        <w:shd w:val="clear" w:color="auto" w:fill="auto"/>
        <w:ind w:left="20" w:right="280" w:firstLine="580"/>
      </w:pPr>
      <w:r>
        <w:t xml:space="preserve"> Пономаренко Д.В. </w:t>
      </w:r>
      <w:r>
        <w:rPr>
          <w:lang w:val="ru-RU" w:eastAsia="ru-RU" w:bidi="ru-RU"/>
        </w:rPr>
        <w:t xml:space="preserve">Сравнительный </w:t>
      </w:r>
      <w:r>
        <w:t xml:space="preserve">аналіз налоговой политики </w:t>
      </w:r>
      <w:r>
        <w:rPr>
          <w:lang w:val="ru-RU" w:eastAsia="ru-RU" w:bidi="ru-RU"/>
        </w:rPr>
        <w:t xml:space="preserve">украины </w:t>
      </w:r>
      <w:r>
        <w:t xml:space="preserve">и европейского </w:t>
      </w:r>
      <w:r>
        <w:rPr>
          <w:lang w:val="ru-RU" w:eastAsia="ru-RU" w:bidi="ru-RU"/>
        </w:rPr>
        <w:t xml:space="preserve">союза </w:t>
      </w:r>
      <w:r>
        <w:t xml:space="preserve">в </w:t>
      </w:r>
      <w:r>
        <w:rPr>
          <w:lang w:val="ru-RU" w:eastAsia="ru-RU" w:bidi="ru-RU"/>
        </w:rPr>
        <w:t xml:space="preserve">сфере косвенного налогообложения </w:t>
      </w:r>
      <w:r>
        <w:t xml:space="preserve">/ </w:t>
      </w:r>
      <w:r>
        <w:rPr>
          <w:lang w:val="ru-RU" w:eastAsia="ru-RU" w:bidi="ru-RU"/>
        </w:rPr>
        <w:t>Д.</w:t>
      </w:r>
      <w:r>
        <w:t xml:space="preserve">В. </w:t>
      </w:r>
      <w:r>
        <w:rPr>
          <w:lang w:val="ru-RU" w:eastAsia="ru-RU" w:bidi="ru-RU"/>
        </w:rPr>
        <w:t xml:space="preserve">Пономаренко // </w:t>
      </w:r>
      <w:r>
        <w:t xml:space="preserve">Вісник економічної науки України. - </w:t>
      </w:r>
      <w:r>
        <w:t>2011. - № 1 (19). - С. 120-128.</w:t>
      </w:r>
    </w:p>
    <w:p w:rsidR="00DA52B0" w:rsidRDefault="00C346E1">
      <w:pPr>
        <w:pStyle w:val="40"/>
        <w:framePr w:w="10234" w:h="6404" w:hRule="exact" w:wrap="around" w:vAnchor="page" w:hAnchor="page" w:x="850" w:y="1126"/>
        <w:numPr>
          <w:ilvl w:val="0"/>
          <w:numId w:val="7"/>
        </w:numPr>
        <w:shd w:val="clear" w:color="auto" w:fill="auto"/>
        <w:ind w:left="20" w:right="280" w:firstLine="580"/>
      </w:pPr>
      <w:r>
        <w:t xml:space="preserve"> Регулятивний потенціал податкової системи України: монографія /за заг. </w:t>
      </w:r>
      <w:r>
        <w:rPr>
          <w:lang w:val="ru-RU" w:eastAsia="ru-RU" w:bidi="ru-RU"/>
        </w:rPr>
        <w:t xml:space="preserve">ред. </w:t>
      </w:r>
      <w:r>
        <w:t>Ю.Б. Іванова. - Харків: ХНЕУ, 2009. - 336 с.</w:t>
      </w:r>
    </w:p>
    <w:p w:rsidR="00DA52B0" w:rsidRDefault="00C346E1">
      <w:pPr>
        <w:pStyle w:val="40"/>
        <w:framePr w:w="10234" w:h="6404" w:hRule="exact" w:wrap="around" w:vAnchor="page" w:hAnchor="page" w:x="850" w:y="1126"/>
        <w:numPr>
          <w:ilvl w:val="0"/>
          <w:numId w:val="7"/>
        </w:numPr>
        <w:shd w:val="clear" w:color="auto" w:fill="auto"/>
        <w:ind w:left="20" w:right="280" w:firstLine="580"/>
      </w:pPr>
      <w:r>
        <w:t xml:space="preserve"> </w:t>
      </w:r>
      <w:r>
        <w:rPr>
          <w:lang w:val="ru-RU" w:eastAsia="ru-RU" w:bidi="ru-RU"/>
        </w:rPr>
        <w:t xml:space="preserve">Современный НДС /Л. Эрбилл, М. Кин, Ж.-П. Боден, В. Саммерс; [пер. с англ.]. - М.: Весь Мир, 2003. - </w:t>
      </w:r>
      <w:r>
        <w:rPr>
          <w:lang w:val="ru-RU" w:eastAsia="ru-RU" w:bidi="ru-RU"/>
        </w:rPr>
        <w:t>274 с.</w:t>
      </w:r>
    </w:p>
    <w:p w:rsidR="00DA52B0" w:rsidRDefault="00C346E1">
      <w:pPr>
        <w:pStyle w:val="40"/>
        <w:framePr w:w="10234" w:h="6404" w:hRule="exact" w:wrap="around" w:vAnchor="page" w:hAnchor="page" w:x="850" w:y="1126"/>
        <w:numPr>
          <w:ilvl w:val="0"/>
          <w:numId w:val="7"/>
        </w:numPr>
        <w:shd w:val="clear" w:color="auto" w:fill="auto"/>
        <w:ind w:left="20" w:right="280" w:firstLine="580"/>
      </w:pPr>
      <w:r>
        <w:rPr>
          <w:lang w:val="ru-RU" w:eastAsia="ru-RU" w:bidi="ru-RU"/>
        </w:rPr>
        <w:t xml:space="preserve"> Соколовська А М. </w:t>
      </w:r>
      <w:r>
        <w:t>Основи теорії податків: навчальний посібник / АМ. Соколовська. - К.: Кондор, 2010. - 226 с.</w:t>
      </w:r>
    </w:p>
    <w:p w:rsidR="00DA52B0" w:rsidRDefault="00C346E1">
      <w:pPr>
        <w:pStyle w:val="40"/>
        <w:framePr w:w="10234" w:h="6404" w:hRule="exact" w:wrap="around" w:vAnchor="page" w:hAnchor="page" w:x="850" w:y="1126"/>
        <w:numPr>
          <w:ilvl w:val="0"/>
          <w:numId w:val="7"/>
        </w:numPr>
        <w:shd w:val="clear" w:color="auto" w:fill="auto"/>
        <w:ind w:left="20" w:right="280" w:firstLine="580"/>
      </w:pPr>
      <w:r>
        <w:t xml:space="preserve"> Сотніченко О А. Непрямі податки та їх участь у регулюванні товарообороту країни / О А. Сотніченко //Інвестиції: практика та досвід. - 2012</w:t>
      </w:r>
      <w:r>
        <w:t>. - № 3. - С. 55-57.</w:t>
      </w:r>
    </w:p>
    <w:p w:rsidR="00DA52B0" w:rsidRDefault="00C346E1">
      <w:pPr>
        <w:pStyle w:val="40"/>
        <w:framePr w:w="10234" w:h="6404" w:hRule="exact" w:wrap="around" w:vAnchor="page" w:hAnchor="page" w:x="850" w:y="1126"/>
        <w:numPr>
          <w:ilvl w:val="0"/>
          <w:numId w:val="7"/>
        </w:numPr>
        <w:shd w:val="clear" w:color="auto" w:fill="auto"/>
        <w:ind w:left="20" w:right="280" w:firstLine="580"/>
      </w:pPr>
      <w:r>
        <w:t xml:space="preserve"> Чугунов І Я. Непряме оподаткування в системі регулювання економіки /1 Я. Чугунов, ОМ. Жукевич //Економічний часопис - ХХІ. - 2014. - № 1-2(1). - С. 61-64.</w:t>
      </w:r>
    </w:p>
    <w:p w:rsidR="00DA52B0" w:rsidRDefault="00C346E1">
      <w:pPr>
        <w:pStyle w:val="a7"/>
        <w:framePr w:wrap="around" w:vAnchor="page" w:hAnchor="page" w:x="850" w:y="15618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>1818-2682. Наука молода, 2014 рік. № 21</w:t>
      </w:r>
    </w:p>
    <w:p w:rsidR="00DA52B0" w:rsidRDefault="00C346E1">
      <w:pPr>
        <w:pStyle w:val="a7"/>
        <w:framePr w:wrap="around" w:vAnchor="page" w:hAnchor="page" w:x="10488" w:y="15623"/>
        <w:shd w:val="clear" w:color="auto" w:fill="auto"/>
        <w:spacing w:line="170" w:lineRule="exact"/>
        <w:ind w:left="20"/>
      </w:pPr>
      <w:r>
        <w:t>133</w:t>
      </w:r>
    </w:p>
    <w:p w:rsidR="00DA52B0" w:rsidRDefault="00DA52B0">
      <w:pPr>
        <w:rPr>
          <w:sz w:val="2"/>
          <w:szCs w:val="2"/>
        </w:rPr>
      </w:pPr>
    </w:p>
    <w:sectPr w:rsidR="00DA52B0" w:rsidSect="00DA52B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6E1" w:rsidRDefault="00C346E1" w:rsidP="00DA52B0">
      <w:r>
        <w:separator/>
      </w:r>
    </w:p>
  </w:endnote>
  <w:endnote w:type="continuationSeparator" w:id="1">
    <w:p w:rsidR="00C346E1" w:rsidRDefault="00C346E1" w:rsidP="00DA5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6E1" w:rsidRDefault="00C346E1">
      <w:r>
        <w:separator/>
      </w:r>
    </w:p>
  </w:footnote>
  <w:footnote w:type="continuationSeparator" w:id="1">
    <w:p w:rsidR="00C346E1" w:rsidRDefault="00C34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29D3"/>
    <w:multiLevelType w:val="multilevel"/>
    <w:tmpl w:val="6BAC3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E7AFE"/>
    <w:multiLevelType w:val="multilevel"/>
    <w:tmpl w:val="FDAEAA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74005"/>
    <w:multiLevelType w:val="multilevel"/>
    <w:tmpl w:val="9CC6E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33BA6"/>
    <w:multiLevelType w:val="multilevel"/>
    <w:tmpl w:val="3A0E7F90"/>
    <w:lvl w:ilvl="0">
      <w:start w:val="200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E63AF4"/>
    <w:multiLevelType w:val="multilevel"/>
    <w:tmpl w:val="E7A2D180"/>
    <w:lvl w:ilvl="0">
      <w:start w:val="200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4E669B"/>
    <w:multiLevelType w:val="multilevel"/>
    <w:tmpl w:val="1B944F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DE5153"/>
    <w:multiLevelType w:val="multilevel"/>
    <w:tmpl w:val="3AF88D6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52B0"/>
    <w:rsid w:val="004E5CCC"/>
    <w:rsid w:val="00C346E1"/>
    <w:rsid w:val="00DA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44"/>
        <o:r id="V:Rule3" type="connector" idref="#_x0000_s1043"/>
        <o:r id="V:Rule4" type="connector" idref="#_x0000_s1042"/>
        <o:r id="V:Rule5" type="connector" idref="#_x0000_s1041"/>
        <o:r id="V:Rule6" type="connector" idref="#_x0000_s1040"/>
        <o:r id="V:Rule7" type="connector" idref="#_x0000_s1039"/>
        <o:r id="V:Rule8" type="connector" idref="#_x0000_s1038"/>
        <o:r id="V:Rule9" type="connector" idref="#_x0000_s1037"/>
        <o:r id="V:Rule10" type="connector" idref="#_x0000_s1036"/>
        <o:r id="V:Rule11" type="connector" idref="#_x0000_s1035"/>
        <o:r id="V:Rule12" type="connector" idref="#_x0000_s1034"/>
        <o:r id="V:Rule13" type="connector" idref="#_x0000_s1033"/>
        <o:r id="V:Rule14" type="connector" idref="#_x0000_s1032"/>
        <o:r id="V:Rule15" type="connector" idref="#_x0000_s1031"/>
        <o:r id="V:Rule16" type="connector" idref="#_x0000_s1030"/>
        <o:r id="V:Rule1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2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2B0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sid w:val="00DA5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ий текст_"/>
    <w:basedOn w:val="a0"/>
    <w:link w:val="a5"/>
    <w:rsid w:val="00DA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ий текст + Напівжирний;Інтервал 0 pt"/>
    <w:basedOn w:val="a4"/>
    <w:rsid w:val="00DA52B0"/>
    <w:rPr>
      <w:b/>
      <w:bCs/>
      <w:color w:val="000000"/>
      <w:spacing w:val="2"/>
      <w:w w:val="100"/>
      <w:position w:val="0"/>
      <w:lang w:val="uk-UA" w:eastAsia="uk-UA" w:bidi="uk-UA"/>
    </w:rPr>
  </w:style>
  <w:style w:type="character" w:customStyle="1" w:styleId="21">
    <w:name w:val="Основний текст (2)"/>
    <w:basedOn w:val="2"/>
    <w:rsid w:val="00DA52B0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3">
    <w:name w:val="Основний текст (3)_"/>
    <w:basedOn w:val="a0"/>
    <w:link w:val="30"/>
    <w:rsid w:val="00DA52B0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ий текст (4)_"/>
    <w:basedOn w:val="a0"/>
    <w:link w:val="40"/>
    <w:rsid w:val="00DA5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40pt">
    <w:name w:val="Основний текст (4) + Напівжирний;Інтервал 0 pt"/>
    <w:basedOn w:val="4"/>
    <w:rsid w:val="00DA52B0"/>
    <w:rPr>
      <w:b/>
      <w:bCs/>
      <w:color w:val="000000"/>
      <w:spacing w:val="3"/>
      <w:w w:val="100"/>
      <w:position w:val="0"/>
      <w:lang w:val="uk-UA" w:eastAsia="uk-UA" w:bidi="uk-UA"/>
    </w:rPr>
  </w:style>
  <w:style w:type="character" w:customStyle="1" w:styleId="a6">
    <w:name w:val="Колонтитул_"/>
    <w:basedOn w:val="a0"/>
    <w:link w:val="a7"/>
    <w:rsid w:val="00DA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2">
    <w:name w:val="Заголовок №1 (2)_"/>
    <w:basedOn w:val="a0"/>
    <w:link w:val="120"/>
    <w:rsid w:val="00DA5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  <w:lang w:val="en-US" w:eastAsia="en-US" w:bidi="en-US"/>
    </w:rPr>
  </w:style>
  <w:style w:type="character" w:customStyle="1" w:styleId="120pt">
    <w:name w:val="Заголовок №1 (2) + Не напівжирний;Курсив;Інтервал 0 pt"/>
    <w:basedOn w:val="12"/>
    <w:rsid w:val="00DA52B0"/>
    <w:rPr>
      <w:b/>
      <w:bCs/>
      <w:i/>
      <w:iCs/>
      <w:color w:val="000000"/>
      <w:spacing w:val="-2"/>
      <w:w w:val="100"/>
      <w:position w:val="0"/>
    </w:rPr>
  </w:style>
  <w:style w:type="character" w:customStyle="1" w:styleId="a8">
    <w:name w:val="Основний текст"/>
    <w:basedOn w:val="a4"/>
    <w:rsid w:val="00DA52B0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a9">
    <w:name w:val="Підпис до таблиці_"/>
    <w:basedOn w:val="a0"/>
    <w:link w:val="aa"/>
    <w:rsid w:val="00DA5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b">
    <w:name w:val="Підпис до таблиці"/>
    <w:basedOn w:val="a9"/>
    <w:rsid w:val="00DA52B0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ac">
    <w:name w:val="Основний текст"/>
    <w:basedOn w:val="a4"/>
    <w:rsid w:val="00DA52B0"/>
    <w:rPr>
      <w:color w:val="000000"/>
      <w:w w:val="100"/>
      <w:position w:val="0"/>
      <w:lang w:val="uk-UA" w:eastAsia="uk-UA" w:bidi="uk-UA"/>
    </w:rPr>
  </w:style>
  <w:style w:type="character" w:customStyle="1" w:styleId="ad">
    <w:name w:val="Виноска_"/>
    <w:basedOn w:val="a0"/>
    <w:link w:val="ae"/>
    <w:rsid w:val="00DA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f">
    <w:name w:val="Підпис до зображення_"/>
    <w:basedOn w:val="a0"/>
    <w:link w:val="af0"/>
    <w:rsid w:val="00DA5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1">
    <w:name w:val="Основний текст + Малі великі літери"/>
    <w:basedOn w:val="a4"/>
    <w:rsid w:val="00DA52B0"/>
    <w:rPr>
      <w:smallCaps/>
      <w:color w:val="000000"/>
      <w:w w:val="100"/>
      <w:position w:val="0"/>
      <w:lang w:val="uk-UA" w:eastAsia="uk-UA" w:bidi="uk-UA"/>
    </w:rPr>
  </w:style>
  <w:style w:type="character" w:customStyle="1" w:styleId="85pt0pt">
    <w:name w:val="Основний текст + 8;5 pt;Інтервал 0 pt"/>
    <w:basedOn w:val="a4"/>
    <w:rsid w:val="00DA52B0"/>
    <w:rPr>
      <w:color w:val="000000"/>
      <w:spacing w:val="4"/>
      <w:w w:val="100"/>
      <w:position w:val="0"/>
      <w:sz w:val="17"/>
      <w:szCs w:val="17"/>
      <w:lang w:val="uk-UA" w:eastAsia="uk-UA" w:bidi="uk-UA"/>
    </w:rPr>
  </w:style>
  <w:style w:type="character" w:customStyle="1" w:styleId="0pt0">
    <w:name w:val="Основний текст + Курсив;Інтервал 0 pt"/>
    <w:basedOn w:val="a4"/>
    <w:rsid w:val="00DA52B0"/>
    <w:rPr>
      <w:i/>
      <w:iCs/>
      <w:color w:val="000000"/>
      <w:spacing w:val="-2"/>
      <w:w w:val="100"/>
      <w:position w:val="0"/>
      <w:lang w:val="uk-UA" w:eastAsia="uk-UA" w:bidi="uk-UA"/>
    </w:rPr>
  </w:style>
  <w:style w:type="character" w:customStyle="1" w:styleId="1">
    <w:name w:val="Заголовок №1_"/>
    <w:basedOn w:val="a0"/>
    <w:link w:val="10"/>
    <w:rsid w:val="00DA52B0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0pt1">
    <w:name w:val="Виноска + Напівжирний;Інтервал 0 pt"/>
    <w:basedOn w:val="ad"/>
    <w:rsid w:val="00DA52B0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0pt2">
    <w:name w:val="Основний текст + Напівжирний;Інтервал 0 pt"/>
    <w:basedOn w:val="a4"/>
    <w:rsid w:val="00DA52B0"/>
    <w:rPr>
      <w:b/>
      <w:bCs/>
      <w:color w:val="000000"/>
      <w:spacing w:val="2"/>
      <w:w w:val="100"/>
      <w:position w:val="0"/>
      <w:lang w:val="uk-UA" w:eastAsia="uk-UA" w:bidi="uk-UA"/>
    </w:rPr>
  </w:style>
  <w:style w:type="character" w:customStyle="1" w:styleId="22">
    <w:name w:val="Виноска (2)_"/>
    <w:basedOn w:val="a0"/>
    <w:link w:val="23"/>
    <w:rsid w:val="00DA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55pt0pt">
    <w:name w:val="Виноска + 5;5 pt;Інтервал 0 pt"/>
    <w:basedOn w:val="ad"/>
    <w:rsid w:val="00DA52B0"/>
    <w:rPr>
      <w:color w:val="000000"/>
      <w:spacing w:val="5"/>
      <w:w w:val="100"/>
      <w:position w:val="0"/>
      <w:sz w:val="11"/>
      <w:szCs w:val="11"/>
      <w:lang w:val="uk-UA" w:eastAsia="uk-UA" w:bidi="uk-UA"/>
    </w:rPr>
  </w:style>
  <w:style w:type="character" w:customStyle="1" w:styleId="55pt0pt0">
    <w:name w:val="Виноска + 5;5 pt;Інтервал 0 pt"/>
    <w:basedOn w:val="ad"/>
    <w:rsid w:val="00DA52B0"/>
    <w:rPr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6">
    <w:name w:val="Основний текст (6)_"/>
    <w:basedOn w:val="a0"/>
    <w:link w:val="60"/>
    <w:rsid w:val="00DA52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61">
    <w:name w:val="Основний текст (6)"/>
    <w:basedOn w:val="6"/>
    <w:rsid w:val="00DA52B0"/>
    <w:rPr>
      <w:color w:val="000000"/>
      <w:w w:val="100"/>
      <w:position w:val="0"/>
      <w:lang w:val="uk-UA" w:eastAsia="uk-UA" w:bidi="uk-UA"/>
    </w:rPr>
  </w:style>
  <w:style w:type="character" w:customStyle="1" w:styleId="af2">
    <w:name w:val="Основний текст"/>
    <w:basedOn w:val="a4"/>
    <w:rsid w:val="00DA52B0"/>
    <w:rPr>
      <w:color w:val="000000"/>
      <w:w w:val="100"/>
      <w:position w:val="0"/>
      <w:lang w:val="uk-UA" w:eastAsia="uk-UA" w:bidi="uk-UA"/>
    </w:rPr>
  </w:style>
  <w:style w:type="character" w:customStyle="1" w:styleId="7">
    <w:name w:val="Основний текст (7)_"/>
    <w:basedOn w:val="a0"/>
    <w:link w:val="70"/>
    <w:rsid w:val="00DA52B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71">
    <w:name w:val="Основний текст (7)"/>
    <w:basedOn w:val="7"/>
    <w:rsid w:val="00DA52B0"/>
    <w:rPr>
      <w:color w:val="000000"/>
      <w:w w:val="100"/>
      <w:position w:val="0"/>
      <w:lang w:val="uk-UA" w:eastAsia="uk-UA" w:bidi="uk-UA"/>
    </w:rPr>
  </w:style>
  <w:style w:type="character" w:customStyle="1" w:styleId="8">
    <w:name w:val="Основний текст (8)_"/>
    <w:basedOn w:val="a0"/>
    <w:link w:val="80"/>
    <w:rsid w:val="00DA52B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81">
    <w:name w:val="Основний текст (8)"/>
    <w:basedOn w:val="8"/>
    <w:rsid w:val="00DA52B0"/>
    <w:rPr>
      <w:color w:val="000000"/>
      <w:w w:val="100"/>
      <w:position w:val="0"/>
      <w:lang w:val="uk-UA" w:eastAsia="uk-UA" w:bidi="uk-UA"/>
    </w:rPr>
  </w:style>
  <w:style w:type="character" w:customStyle="1" w:styleId="af3">
    <w:name w:val="Основний текст"/>
    <w:basedOn w:val="a4"/>
    <w:rsid w:val="00DA52B0"/>
    <w:rPr>
      <w:color w:val="000000"/>
      <w:w w:val="100"/>
      <w:position w:val="0"/>
      <w:lang w:val="uk-UA" w:eastAsia="uk-UA" w:bidi="uk-UA"/>
    </w:rPr>
  </w:style>
  <w:style w:type="character" w:customStyle="1" w:styleId="9">
    <w:name w:val="Основний текст (9)_"/>
    <w:basedOn w:val="a0"/>
    <w:link w:val="90"/>
    <w:rsid w:val="00DA52B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1"/>
      <w:sz w:val="11"/>
      <w:szCs w:val="11"/>
      <w:u w:val="none"/>
      <w:lang w:val="ru-RU" w:eastAsia="ru-RU" w:bidi="ru-RU"/>
    </w:rPr>
  </w:style>
  <w:style w:type="character" w:customStyle="1" w:styleId="91">
    <w:name w:val="Основний текст (9)"/>
    <w:basedOn w:val="9"/>
    <w:rsid w:val="00DA52B0"/>
    <w:rPr>
      <w:color w:val="000000"/>
      <w:w w:val="100"/>
      <w:position w:val="0"/>
    </w:rPr>
  </w:style>
  <w:style w:type="character" w:customStyle="1" w:styleId="5">
    <w:name w:val="Основний текст (5)_"/>
    <w:basedOn w:val="a0"/>
    <w:link w:val="50"/>
    <w:rsid w:val="00DA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  <w:lang w:val="ru-RU" w:eastAsia="ru-RU" w:bidi="ru-RU"/>
    </w:rPr>
  </w:style>
  <w:style w:type="character" w:customStyle="1" w:styleId="51">
    <w:name w:val="Основний текст (5)"/>
    <w:basedOn w:val="5"/>
    <w:rsid w:val="00DA52B0"/>
    <w:rPr>
      <w:color w:val="000000"/>
      <w:w w:val="100"/>
      <w:position w:val="0"/>
    </w:rPr>
  </w:style>
  <w:style w:type="character" w:customStyle="1" w:styleId="100">
    <w:name w:val="Основний текст (10)_"/>
    <w:basedOn w:val="a0"/>
    <w:link w:val="101"/>
    <w:rsid w:val="00DA52B0"/>
    <w:rPr>
      <w:rFonts w:ascii="Segoe UI" w:eastAsia="Segoe UI" w:hAnsi="Segoe UI" w:cs="Segoe UI"/>
      <w:b/>
      <w:bCs/>
      <w:i w:val="0"/>
      <w:iCs w:val="0"/>
      <w:smallCaps w:val="0"/>
      <w:strike w:val="0"/>
      <w:spacing w:val="-7"/>
      <w:sz w:val="11"/>
      <w:szCs w:val="11"/>
      <w:u w:val="none"/>
      <w:lang w:val="ru-RU" w:eastAsia="ru-RU" w:bidi="ru-RU"/>
    </w:rPr>
  </w:style>
  <w:style w:type="character" w:customStyle="1" w:styleId="102">
    <w:name w:val="Основний текст (10)"/>
    <w:basedOn w:val="100"/>
    <w:rsid w:val="00DA52B0"/>
    <w:rPr>
      <w:color w:val="000000"/>
      <w:w w:val="100"/>
      <w:position w:val="0"/>
    </w:rPr>
  </w:style>
  <w:style w:type="character" w:customStyle="1" w:styleId="11">
    <w:name w:val="Основний текст (11)_"/>
    <w:basedOn w:val="a0"/>
    <w:link w:val="110"/>
    <w:rsid w:val="00DA5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4"/>
      <w:szCs w:val="14"/>
      <w:u w:val="none"/>
      <w:lang w:val="ru-RU" w:eastAsia="ru-RU" w:bidi="ru-RU"/>
    </w:rPr>
  </w:style>
  <w:style w:type="character" w:customStyle="1" w:styleId="111">
    <w:name w:val="Основний текст (11)"/>
    <w:basedOn w:val="11"/>
    <w:rsid w:val="00DA52B0"/>
    <w:rPr>
      <w:color w:val="000000"/>
      <w:w w:val="100"/>
      <w:position w:val="0"/>
    </w:rPr>
  </w:style>
  <w:style w:type="character" w:customStyle="1" w:styleId="121">
    <w:name w:val="Основний текст (12)_"/>
    <w:basedOn w:val="a0"/>
    <w:link w:val="122"/>
    <w:rsid w:val="00DA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8"/>
      <w:sz w:val="208"/>
      <w:szCs w:val="208"/>
      <w:u w:val="none"/>
    </w:rPr>
  </w:style>
  <w:style w:type="character" w:customStyle="1" w:styleId="123">
    <w:name w:val="Основний текст (12)"/>
    <w:basedOn w:val="121"/>
    <w:rsid w:val="00DA52B0"/>
    <w:rPr>
      <w:color w:val="000000"/>
      <w:w w:val="100"/>
      <w:position w:val="0"/>
      <w:lang w:val="uk-UA" w:eastAsia="uk-UA" w:bidi="uk-UA"/>
    </w:rPr>
  </w:style>
  <w:style w:type="character" w:customStyle="1" w:styleId="13">
    <w:name w:val="Основний текст (13)_"/>
    <w:basedOn w:val="a0"/>
    <w:link w:val="130"/>
    <w:rsid w:val="00DA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  <w:lang w:val="ru-RU" w:eastAsia="ru-RU" w:bidi="ru-RU"/>
    </w:rPr>
  </w:style>
  <w:style w:type="character" w:customStyle="1" w:styleId="131">
    <w:name w:val="Основний текст (13)"/>
    <w:basedOn w:val="13"/>
    <w:rsid w:val="00DA52B0"/>
    <w:rPr>
      <w:color w:val="000000"/>
      <w:w w:val="100"/>
      <w:position w:val="0"/>
    </w:rPr>
  </w:style>
  <w:style w:type="character" w:customStyle="1" w:styleId="14">
    <w:name w:val="Основний текст (14)_"/>
    <w:basedOn w:val="a0"/>
    <w:link w:val="140"/>
    <w:rsid w:val="00DA52B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13"/>
      <w:sz w:val="17"/>
      <w:szCs w:val="17"/>
      <w:u w:val="none"/>
      <w:lang w:val="ru-RU" w:eastAsia="ru-RU" w:bidi="ru-RU"/>
    </w:rPr>
  </w:style>
  <w:style w:type="character" w:customStyle="1" w:styleId="141">
    <w:name w:val="Основний текст (14)"/>
    <w:basedOn w:val="14"/>
    <w:rsid w:val="00DA52B0"/>
    <w:rPr>
      <w:color w:val="000000"/>
      <w:w w:val="100"/>
      <w:position w:val="0"/>
    </w:rPr>
  </w:style>
  <w:style w:type="character" w:customStyle="1" w:styleId="15">
    <w:name w:val="Основний текст (15)_"/>
    <w:basedOn w:val="a0"/>
    <w:link w:val="150"/>
    <w:rsid w:val="00DA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18"/>
      <w:szCs w:val="18"/>
      <w:u w:val="none"/>
      <w:lang w:val="ru-RU" w:eastAsia="ru-RU" w:bidi="ru-RU"/>
    </w:rPr>
  </w:style>
  <w:style w:type="character" w:customStyle="1" w:styleId="151">
    <w:name w:val="Основний текст (15)"/>
    <w:basedOn w:val="15"/>
    <w:rsid w:val="00DA52B0"/>
    <w:rPr>
      <w:color w:val="000000"/>
      <w:w w:val="100"/>
      <w:position w:val="0"/>
    </w:rPr>
  </w:style>
  <w:style w:type="character" w:customStyle="1" w:styleId="af4">
    <w:name w:val="Основний текст"/>
    <w:basedOn w:val="a4"/>
    <w:rsid w:val="00DA52B0"/>
    <w:rPr>
      <w:color w:val="000000"/>
      <w:w w:val="100"/>
      <w:position w:val="0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DA52B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5">
    <w:name w:val="Основний текст"/>
    <w:basedOn w:val="a"/>
    <w:link w:val="a4"/>
    <w:rsid w:val="00DA52B0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ий текст (3)"/>
    <w:basedOn w:val="a"/>
    <w:link w:val="3"/>
    <w:rsid w:val="00DA52B0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3"/>
      <w:sz w:val="21"/>
      <w:szCs w:val="21"/>
    </w:rPr>
  </w:style>
  <w:style w:type="paragraph" w:customStyle="1" w:styleId="40">
    <w:name w:val="Основний текст (4)"/>
    <w:basedOn w:val="a"/>
    <w:link w:val="4"/>
    <w:rsid w:val="00DA52B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a7">
    <w:name w:val="Колонтитул"/>
    <w:basedOn w:val="a"/>
    <w:link w:val="a6"/>
    <w:rsid w:val="00DA52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120">
    <w:name w:val="Заголовок №1 (2)"/>
    <w:basedOn w:val="a"/>
    <w:link w:val="12"/>
    <w:rsid w:val="00DA52B0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en-US" w:eastAsia="en-US" w:bidi="en-US"/>
    </w:rPr>
  </w:style>
  <w:style w:type="paragraph" w:customStyle="1" w:styleId="aa">
    <w:name w:val="Підпис до таблиці"/>
    <w:basedOn w:val="a"/>
    <w:link w:val="a9"/>
    <w:rsid w:val="00DA52B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e">
    <w:name w:val="Виноска"/>
    <w:basedOn w:val="a"/>
    <w:link w:val="ad"/>
    <w:rsid w:val="00DA52B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af0">
    <w:name w:val="Підпис до зображення"/>
    <w:basedOn w:val="a"/>
    <w:link w:val="af"/>
    <w:rsid w:val="00DA52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0">
    <w:name w:val="Заголовок №1"/>
    <w:basedOn w:val="a"/>
    <w:link w:val="1"/>
    <w:rsid w:val="00DA52B0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3"/>
      <w:sz w:val="21"/>
      <w:szCs w:val="21"/>
    </w:rPr>
  </w:style>
  <w:style w:type="paragraph" w:customStyle="1" w:styleId="23">
    <w:name w:val="Виноска (2)"/>
    <w:basedOn w:val="a"/>
    <w:link w:val="22"/>
    <w:rsid w:val="00DA52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1"/>
      <w:szCs w:val="11"/>
    </w:rPr>
  </w:style>
  <w:style w:type="paragraph" w:customStyle="1" w:styleId="60">
    <w:name w:val="Основний текст (6)"/>
    <w:basedOn w:val="a"/>
    <w:link w:val="6"/>
    <w:rsid w:val="00DA52B0"/>
    <w:pPr>
      <w:shd w:val="clear" w:color="auto" w:fill="FFFFFF"/>
      <w:spacing w:line="302" w:lineRule="exact"/>
    </w:pPr>
    <w:rPr>
      <w:rFonts w:ascii="Microsoft Sans Serif" w:eastAsia="Microsoft Sans Serif" w:hAnsi="Microsoft Sans Serif" w:cs="Microsoft Sans Serif"/>
      <w:spacing w:val="4"/>
      <w:sz w:val="18"/>
      <w:szCs w:val="18"/>
    </w:rPr>
  </w:style>
  <w:style w:type="paragraph" w:customStyle="1" w:styleId="70">
    <w:name w:val="Основний текст (7)"/>
    <w:basedOn w:val="a"/>
    <w:link w:val="7"/>
    <w:rsid w:val="00DA52B0"/>
    <w:pPr>
      <w:shd w:val="clear" w:color="auto" w:fill="FFFFFF"/>
      <w:spacing w:line="302" w:lineRule="exact"/>
    </w:pPr>
    <w:rPr>
      <w:rFonts w:ascii="Impact" w:eastAsia="Impact" w:hAnsi="Impact" w:cs="Impact"/>
      <w:spacing w:val="4"/>
      <w:sz w:val="19"/>
      <w:szCs w:val="19"/>
    </w:rPr>
  </w:style>
  <w:style w:type="paragraph" w:customStyle="1" w:styleId="80">
    <w:name w:val="Основний текст (8)"/>
    <w:basedOn w:val="a"/>
    <w:link w:val="8"/>
    <w:rsid w:val="00DA52B0"/>
    <w:pPr>
      <w:shd w:val="clear" w:color="auto" w:fill="FFFFFF"/>
      <w:spacing w:line="302" w:lineRule="exact"/>
    </w:pPr>
    <w:rPr>
      <w:rFonts w:ascii="Segoe UI" w:eastAsia="Segoe UI" w:hAnsi="Segoe UI" w:cs="Segoe UI"/>
      <w:spacing w:val="11"/>
      <w:sz w:val="18"/>
      <w:szCs w:val="18"/>
    </w:rPr>
  </w:style>
  <w:style w:type="paragraph" w:customStyle="1" w:styleId="90">
    <w:name w:val="Основний текст (9)"/>
    <w:basedOn w:val="a"/>
    <w:link w:val="9"/>
    <w:rsid w:val="00DA52B0"/>
    <w:pPr>
      <w:shd w:val="clear" w:color="auto" w:fill="FFFFFF"/>
      <w:spacing w:line="0" w:lineRule="atLeast"/>
    </w:pPr>
    <w:rPr>
      <w:rFonts w:ascii="Segoe UI" w:eastAsia="Segoe UI" w:hAnsi="Segoe UI" w:cs="Segoe UI"/>
      <w:spacing w:val="-11"/>
      <w:sz w:val="11"/>
      <w:szCs w:val="11"/>
      <w:lang w:val="ru-RU" w:eastAsia="ru-RU" w:bidi="ru-RU"/>
    </w:rPr>
  </w:style>
  <w:style w:type="paragraph" w:customStyle="1" w:styleId="50">
    <w:name w:val="Основний текст (5)"/>
    <w:basedOn w:val="a"/>
    <w:link w:val="5"/>
    <w:rsid w:val="00DA52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  <w:lang w:val="ru-RU" w:eastAsia="ru-RU" w:bidi="ru-RU"/>
    </w:rPr>
  </w:style>
  <w:style w:type="paragraph" w:customStyle="1" w:styleId="101">
    <w:name w:val="Основний текст (10)"/>
    <w:basedOn w:val="a"/>
    <w:link w:val="100"/>
    <w:rsid w:val="00DA52B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7"/>
      <w:sz w:val="11"/>
      <w:szCs w:val="11"/>
      <w:lang w:val="ru-RU" w:eastAsia="ru-RU" w:bidi="ru-RU"/>
    </w:rPr>
  </w:style>
  <w:style w:type="paragraph" w:customStyle="1" w:styleId="110">
    <w:name w:val="Основний текст (11)"/>
    <w:basedOn w:val="a"/>
    <w:link w:val="11"/>
    <w:rsid w:val="00DA52B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14"/>
      <w:szCs w:val="14"/>
      <w:lang w:val="ru-RU" w:eastAsia="ru-RU" w:bidi="ru-RU"/>
    </w:rPr>
  </w:style>
  <w:style w:type="paragraph" w:customStyle="1" w:styleId="122">
    <w:name w:val="Основний текст (12)"/>
    <w:basedOn w:val="a"/>
    <w:link w:val="121"/>
    <w:rsid w:val="00DA52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8"/>
      <w:sz w:val="208"/>
      <w:szCs w:val="208"/>
    </w:rPr>
  </w:style>
  <w:style w:type="paragraph" w:customStyle="1" w:styleId="130">
    <w:name w:val="Основний текст (13)"/>
    <w:basedOn w:val="a"/>
    <w:link w:val="13"/>
    <w:rsid w:val="00DA52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9"/>
      <w:szCs w:val="19"/>
      <w:lang w:val="ru-RU" w:eastAsia="ru-RU" w:bidi="ru-RU"/>
    </w:rPr>
  </w:style>
  <w:style w:type="paragraph" w:customStyle="1" w:styleId="140">
    <w:name w:val="Основний текст (14)"/>
    <w:basedOn w:val="a"/>
    <w:link w:val="14"/>
    <w:rsid w:val="00DA52B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pacing w:val="13"/>
      <w:sz w:val="17"/>
      <w:szCs w:val="17"/>
      <w:lang w:val="ru-RU" w:eastAsia="ru-RU" w:bidi="ru-RU"/>
    </w:rPr>
  </w:style>
  <w:style w:type="paragraph" w:customStyle="1" w:styleId="150">
    <w:name w:val="Основний текст (15)"/>
    <w:basedOn w:val="a"/>
    <w:link w:val="15"/>
    <w:rsid w:val="00DA52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9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IBRARY\AppData\Local\Temp\FineReader11.00\media\image1.png" TargetMode="External"/><Relationship Id="rId13" Type="http://schemas.openxmlformats.org/officeDocument/2006/relationships/hyperlink" Target="http://zakon2.rada.gov.Ua/laws/show/1166-18" TargetMode="External"/><Relationship Id="rId18" Type="http://schemas.openxmlformats.org/officeDocument/2006/relationships/image" Target="file:///C:\Users\LIBRARY\AppData\Local\Temp\FineReader11.00\media\image3.jpe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png"/><Relationship Id="rId12" Type="http://schemas.openxmlformats.org/officeDocument/2006/relationships/hyperlink" Target="http://zakon2.rada.gov.ua/laws/show/2755-17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ews.finance.Ua/ua/~/2/0/all/2014/05/19/326036" TargetMode="External"/><Relationship Id="rId20" Type="http://schemas.openxmlformats.org/officeDocument/2006/relationships/image" Target="file:///C:\Users\LIBRARY\AppData\Local\Temp\FineReader11.00\media\image4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4.rada.gov.ua/laws/show/994_928" TargetMode="External"/><Relationship Id="rId24" Type="http://schemas.openxmlformats.org/officeDocument/2006/relationships/hyperlink" Target="http://zakon4.rad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4.rada.gov.ua/laws/show/2755-17" TargetMode="External"/><Relationship Id="rId23" Type="http://schemas.openxmlformats.org/officeDocument/2006/relationships/hyperlink" Target="http://zakon4.rada.gov.ua/laws/show/994_928" TargetMode="External"/><Relationship Id="rId10" Type="http://schemas.openxmlformats.org/officeDocument/2006/relationships/image" Target="file:///C:\Users\LIBRARY\AppData\Local\Temp\FineReader11.00\media\image2.png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zakon4.rada.gov.ua/laws/show/994_92S" TargetMode="External"/><Relationship Id="rId22" Type="http://schemas.openxmlformats.org/officeDocument/2006/relationships/image" Target="file:///C:\Users\LIBRARY\AppData\Local\Temp\FineReader11.00\media\image5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27107</Words>
  <Characters>15451</Characters>
  <Application>Microsoft Office Word</Application>
  <DocSecurity>0</DocSecurity>
  <Lines>128</Lines>
  <Paragraphs>84</Paragraphs>
  <ScaleCrop>false</ScaleCrop>
  <Company>Microsoft</Company>
  <LinksUpToDate>false</LinksUpToDate>
  <CharactersWithSpaces>42474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2017-06-30T07:57:00Z</dcterms:created>
  <dcterms:modified xsi:type="dcterms:W3CDTF">2017-06-30T07:58:00Z</dcterms:modified>
</cp:coreProperties>
</file>